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332A" w:rsidRDefault="008337A7">
      <w:pPr>
        <w:pStyle w:val="Header"/>
        <w:tabs>
          <w:tab w:val="clear" w:pos="4536"/>
        </w:tabs>
        <w:snapToGrid w:val="0"/>
        <w:rPr>
          <w:rFonts w:eastAsia="宋体"/>
          <w:sz w:val="22"/>
          <w:szCs w:val="22"/>
          <w:lang w:eastAsia="zh-CN"/>
        </w:rPr>
      </w:pPr>
      <w:r>
        <w:rPr>
          <w:rFonts w:eastAsia="宋体" w:cs="Arial"/>
          <w:lang w:eastAsia="ja-JP"/>
        </w:rPr>
        <w:t>3GPP TSG RAN WG1 Meeting #</w:t>
      </w:r>
      <w:r>
        <w:rPr>
          <w:rFonts w:eastAsia="宋体" w:cs="Arial"/>
          <w:lang w:eastAsia="zh-CN"/>
        </w:rPr>
        <w:t xml:space="preserve">122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ascii="宋体" w:eastAsia="宋体" w:hAnsi="宋体" w:hint="eastAsia"/>
          <w:sz w:val="22"/>
          <w:szCs w:val="22"/>
          <w:lang w:eastAsia="zh-CN"/>
        </w:rPr>
        <w:t xml:space="preserve">   </w:t>
      </w:r>
      <w:r>
        <w:rPr>
          <w:rFonts w:ascii="宋体" w:eastAsia="宋体" w:hAnsi="宋体"/>
          <w:sz w:val="22"/>
          <w:szCs w:val="22"/>
          <w:lang w:eastAsia="zh-CN"/>
        </w:rPr>
        <w:t xml:space="preserve">   </w:t>
      </w:r>
      <w:r>
        <w:rPr>
          <w:rFonts w:ascii="宋体" w:eastAsia="宋体" w:hAnsi="宋体" w:hint="eastAsia"/>
          <w:sz w:val="22"/>
          <w:szCs w:val="22"/>
          <w:lang w:eastAsia="zh-CN"/>
        </w:rPr>
        <w:t xml:space="preserve"> </w:t>
      </w:r>
      <w:r>
        <w:rPr>
          <w:rFonts w:hint="eastAsia"/>
          <w:sz w:val="22"/>
          <w:szCs w:val="22"/>
        </w:rPr>
        <w:t xml:space="preserve">  </w:t>
      </w:r>
      <w:r>
        <w:rPr>
          <w:sz w:val="22"/>
          <w:szCs w:val="22"/>
        </w:rPr>
        <w:t xml:space="preserve"> </w:t>
      </w:r>
      <w:r>
        <w:rPr>
          <w:rFonts w:eastAsia="宋体"/>
          <w:sz w:val="22"/>
          <w:szCs w:val="22"/>
          <w:lang w:eastAsia="zh-CN"/>
        </w:rPr>
        <w:t>R1-2505276</w:t>
      </w:r>
    </w:p>
    <w:p w:rsidR="0048332A" w:rsidRDefault="008337A7">
      <w:pPr>
        <w:snapToGrid w:val="0"/>
        <w:spacing w:after="200"/>
        <w:rPr>
          <w:rFonts w:ascii="Arial" w:eastAsia="MS Mincho" w:hAnsi="Arial"/>
          <w:b/>
          <w:lang w:eastAsia="en-US"/>
        </w:rPr>
      </w:pPr>
      <w:r>
        <w:rPr>
          <w:rFonts w:ascii="Arial" w:hAnsi="Arial"/>
          <w:b/>
        </w:rPr>
        <w:t>Bengaluru, India, August 25</w:t>
      </w:r>
      <w:r>
        <w:rPr>
          <w:rFonts w:ascii="Arial" w:hAnsi="Arial"/>
          <w:b/>
          <w:vertAlign w:val="superscript"/>
        </w:rPr>
        <w:t>th</w:t>
      </w:r>
      <w:r>
        <w:rPr>
          <w:rFonts w:ascii="Arial" w:hAnsi="Arial"/>
          <w:b/>
        </w:rPr>
        <w:t xml:space="preserve"> – 29</w:t>
      </w:r>
      <w:r>
        <w:rPr>
          <w:rFonts w:ascii="Arial" w:hAnsi="Arial"/>
          <w:b/>
          <w:vertAlign w:val="superscript"/>
        </w:rPr>
        <w:t>th</w:t>
      </w:r>
      <w:r>
        <w:rPr>
          <w:rFonts w:ascii="Arial" w:hAnsi="Arial"/>
          <w:b/>
        </w:rPr>
        <w:t>, 2025</w:t>
      </w:r>
    </w:p>
    <w:p w:rsidR="0048332A" w:rsidRDefault="008337A7">
      <w:pPr>
        <w:snapToGrid w:val="0"/>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 xml:space="preserve">ZTE Corporation, </w:t>
      </w:r>
      <w:proofErr w:type="spellStart"/>
      <w:r>
        <w:rPr>
          <w:rFonts w:ascii="Arial" w:eastAsia="MS Mincho" w:hAnsi="Arial"/>
          <w:b/>
          <w:lang w:eastAsia="ja-JP"/>
        </w:rPr>
        <w:t>Sanechips</w:t>
      </w:r>
      <w:proofErr w:type="spellEnd"/>
    </w:p>
    <w:p w:rsidR="0048332A" w:rsidRDefault="008337A7">
      <w:pPr>
        <w:pStyle w:val="Header"/>
        <w:tabs>
          <w:tab w:val="clear" w:pos="4536"/>
        </w:tabs>
        <w:snapToGrid w:val="0"/>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cs="Arial"/>
          <w:bCs/>
          <w:sz w:val="22"/>
          <w:szCs w:val="22"/>
          <w:lang w:eastAsia="zh-CN"/>
        </w:rPr>
        <w:t>Discussion on e</w:t>
      </w:r>
      <w:r>
        <w:rPr>
          <w:rFonts w:eastAsia="宋体" w:cs="Arial"/>
          <w:sz w:val="22"/>
          <w:szCs w:val="22"/>
        </w:rPr>
        <w:t>valuation assumptions for 6GR air interface</w:t>
      </w:r>
    </w:p>
    <w:p w:rsidR="0048332A" w:rsidRDefault="008337A7">
      <w:pPr>
        <w:pStyle w:val="Header"/>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w:t>
      </w:r>
      <w:r>
        <w:rPr>
          <w:rFonts w:eastAsia="宋体"/>
          <w:sz w:val="22"/>
          <w:szCs w:val="22"/>
          <w:lang w:eastAsia="zh-CN"/>
        </w:rPr>
        <w:t>11.2</w:t>
      </w:r>
    </w:p>
    <w:p w:rsidR="0048332A" w:rsidRDefault="008337A7">
      <w:pPr>
        <w:pStyle w:val="Header"/>
        <w:tabs>
          <w:tab w:val="clear" w:pos="4536"/>
        </w:tabs>
        <w:snapToGrid w:val="0"/>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48332A" w:rsidRDefault="0048332A">
      <w:pPr>
        <w:pBdr>
          <w:bottom w:val="single" w:sz="4" w:space="1" w:color="auto"/>
        </w:pBdr>
        <w:tabs>
          <w:tab w:val="left" w:pos="2552"/>
        </w:tabs>
        <w:snapToGrid w:val="0"/>
        <w:rPr>
          <w:sz w:val="4"/>
          <w:szCs w:val="4"/>
        </w:rPr>
      </w:pPr>
    </w:p>
    <w:p w:rsidR="0048332A" w:rsidRDefault="008337A7">
      <w:pPr>
        <w:numPr>
          <w:ilvl w:val="0"/>
          <w:numId w:val="1"/>
        </w:numPr>
        <w:tabs>
          <w:tab w:val="clear" w:pos="432"/>
        </w:tabs>
        <w:snapToGrid w:val="0"/>
        <w:spacing w:before="240" w:afterLines="50" w:after="120"/>
        <w:ind w:left="425" w:hanging="425"/>
        <w:jc w:val="both"/>
        <w:outlineLvl w:val="0"/>
        <w:rPr>
          <w:b/>
          <w:sz w:val="24"/>
          <w:szCs w:val="24"/>
        </w:rPr>
      </w:pPr>
      <w:r>
        <w:rPr>
          <w:b/>
          <w:sz w:val="24"/>
          <w:szCs w:val="24"/>
        </w:rPr>
        <w:t>Introduction</w:t>
      </w:r>
    </w:p>
    <w:p w:rsidR="0048332A" w:rsidRDefault="008337A7">
      <w:pPr>
        <w:overflowPunct w:val="0"/>
        <w:autoSpaceDE w:val="0"/>
        <w:autoSpaceDN w:val="0"/>
        <w:adjustRightInd w:val="0"/>
        <w:spacing w:beforeLines="50" w:before="120" w:afterLines="50" w:after="120"/>
        <w:jc w:val="both"/>
        <w:textAlignment w:val="baseline"/>
        <w:rPr>
          <w:sz w:val="20"/>
          <w:lang w:eastAsia="en-US"/>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r>
      <w:r>
        <w:rPr>
          <w:color w:val="000000"/>
          <w:sz w:val="20"/>
        </w:rPr>
        <w:fldChar w:fldCharType="separate"/>
      </w:r>
      <w:r w:rsidR="00FD4494">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bCs/>
          <w:sz w:val="20"/>
        </w:rPr>
        <w:t xml:space="preserve">defined in </w:t>
      </w:r>
      <w:r>
        <w:rPr>
          <w:bCs/>
          <w:sz w:val="20"/>
          <w:lang w:eastAsia="ja-JP"/>
        </w:rPr>
        <w:t xml:space="preserve">TR38.914 </w:t>
      </w:r>
      <w:r>
        <w:rPr>
          <w:bCs/>
          <w:sz w:val="20"/>
        </w:rPr>
        <w:t xml:space="preserve">“Study on 6G Scenarios and Requirements” </w:t>
      </w:r>
      <w:r>
        <w:rPr>
          <w:bCs/>
          <w:sz w:val="20"/>
        </w:rPr>
        <w:fldChar w:fldCharType="begin"/>
      </w:r>
      <w:r>
        <w:rPr>
          <w:bCs/>
          <w:sz w:val="20"/>
        </w:rPr>
        <w:instrText xml:space="preserve"> REF _Ref205826874 \r \h </w:instrText>
      </w:r>
      <w:r>
        <w:rPr>
          <w:bCs/>
          <w:sz w:val="20"/>
        </w:rPr>
      </w:r>
      <w:r>
        <w:rPr>
          <w:bCs/>
          <w:sz w:val="20"/>
        </w:rPr>
        <w:fldChar w:fldCharType="separate"/>
      </w:r>
      <w:r w:rsidR="00FD4494">
        <w:rPr>
          <w:bCs/>
          <w:sz w:val="20"/>
        </w:rPr>
        <w:t>[2]</w:t>
      </w:r>
      <w:r>
        <w:rPr>
          <w:bCs/>
          <w:sz w:val="20"/>
        </w:rPr>
        <w:fldChar w:fldCharType="end"/>
      </w:r>
      <w:r>
        <w:rPr>
          <w:bCs/>
          <w:sz w:val="20"/>
        </w:rPr>
        <w:t xml:space="preserve">. However, TR38.914 is at this moment incomplete, and some aspects in the TR needs to be further addressed in RAN1. This </w:t>
      </w:r>
      <w:r>
        <w:rPr>
          <w:rFonts w:eastAsia="Malgun Gothic"/>
          <w:sz w:val="20"/>
          <w:lang w:eastAsia="ko-KR"/>
        </w:rPr>
        <w:t>contribution</w:t>
      </w:r>
      <w:r>
        <w:rPr>
          <w:bCs/>
          <w:sz w:val="20"/>
        </w:rPr>
        <w:t xml:space="preserve"> discusses the simulation scenarios described in </w:t>
      </w:r>
      <w:r>
        <w:rPr>
          <w:bCs/>
          <w:sz w:val="20"/>
        </w:rPr>
        <w:fldChar w:fldCharType="begin"/>
      </w:r>
      <w:r>
        <w:rPr>
          <w:bCs/>
          <w:sz w:val="20"/>
        </w:rPr>
        <w:instrText xml:space="preserve"> REF _Ref205826874 \r \h </w:instrText>
      </w:r>
      <w:r>
        <w:rPr>
          <w:bCs/>
          <w:sz w:val="20"/>
        </w:rPr>
      </w:r>
      <w:r>
        <w:rPr>
          <w:bCs/>
          <w:sz w:val="20"/>
        </w:rPr>
        <w:fldChar w:fldCharType="separate"/>
      </w:r>
      <w:r w:rsidR="00FD4494">
        <w:rPr>
          <w:bCs/>
          <w:sz w:val="20"/>
        </w:rPr>
        <w:t>[2]</w:t>
      </w:r>
      <w:r>
        <w:rPr>
          <w:bCs/>
          <w:sz w:val="20"/>
        </w:rPr>
        <w:fldChar w:fldCharType="end"/>
      </w:r>
      <w:r>
        <w:rPr>
          <w:bCs/>
          <w:sz w:val="20"/>
        </w:rPr>
        <w:t xml:space="preserve"> and corresponding detailed evaluation assumptions for 6GR.</w:t>
      </w:r>
    </w:p>
    <w:p w:rsidR="0048332A" w:rsidRDefault="008337A7">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 xml:space="preserve">6GR </w:t>
      </w:r>
      <w:r>
        <w:rPr>
          <w:rFonts w:hint="eastAsia"/>
          <w:b/>
          <w:sz w:val="24"/>
          <w:szCs w:val="28"/>
        </w:rPr>
        <w:t>General</w:t>
      </w:r>
      <w:r>
        <w:rPr>
          <w:b/>
          <w:sz w:val="24"/>
          <w:szCs w:val="28"/>
        </w:rPr>
        <w:t xml:space="preserve"> evaluation methodology</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In this section, we elaborate our views on 6GR evaluation methodology. Then, for sake of presentation, the companion MS excel of collecting the details on our proposed 6GR evaluation methodology is provided as in attachment, involving detailed evaluation parameter(s) on each deployment scenario (e.g., layout, ISD, user distribution, etc.), antenna model (e.g., BS/UE antenna modeling, TXRU to element mapping, etc.) and specific use cases (e.g., energy efficiency and sensing).</w:t>
      </w:r>
    </w:p>
    <w:p w:rsidR="0048332A" w:rsidRDefault="008337A7">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Deployment scenarios</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In RAN#108, twelve 6GR deployment scenario(s) have been captured in TR 38.914: indoor hotspot, dense urban, urban macro, rural, sub-urban macro, high speed, extreme long-distance coverage in low density area, urban coverage for massive connection, air-to-ground scenario, non-terrestrial network, urban grid and highway scenario. Then, in this contribution, we focus on the following critical ones and provide our suggestions for evaluation assumption.</w:t>
      </w:r>
    </w:p>
    <w:p w:rsidR="0048332A" w:rsidRPr="00E2221F"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Indoor hotspot,</w:t>
      </w:r>
    </w:p>
    <w:p w:rsidR="0048332A" w:rsidRPr="00E2221F"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Dense urban,</w:t>
      </w:r>
    </w:p>
    <w:p w:rsidR="0048332A" w:rsidRPr="00E2221F"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Urban macro,</w:t>
      </w:r>
    </w:p>
    <w:p w:rsidR="0048332A" w:rsidRPr="00E2221F"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 xml:space="preserve">Rural, </w:t>
      </w:r>
    </w:p>
    <w:p w:rsidR="0048332A" w:rsidRPr="00E2221F"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Sub-urban macro</w:t>
      </w:r>
    </w:p>
    <w:p w:rsidR="0048332A" w:rsidRDefault="008337A7">
      <w:pPr>
        <w:pStyle w:val="ListParagraph"/>
        <w:numPr>
          <w:ilvl w:val="0"/>
          <w:numId w:val="9"/>
        </w:numPr>
        <w:overflowPunct w:val="0"/>
        <w:autoSpaceDE w:val="0"/>
        <w:autoSpaceDN w:val="0"/>
        <w:adjustRightInd w:val="0"/>
        <w:spacing w:beforeLines="50" w:before="120" w:afterLines="50" w:after="120"/>
        <w:ind w:leftChars="0"/>
        <w:jc w:val="both"/>
        <w:textAlignment w:val="baseline"/>
        <w:rPr>
          <w:rFonts w:eastAsia="Malgun Gothic"/>
          <w:lang w:eastAsia="ko-KR"/>
        </w:rPr>
      </w:pPr>
      <w:r w:rsidRPr="00E2221F">
        <w:rPr>
          <w:rFonts w:ascii="Times New Roman" w:eastAsia="Malgun Gothic" w:hAnsi="Times New Roman"/>
          <w:lang w:eastAsia="ko-KR"/>
        </w:rPr>
        <w:t>Non-terrestrial network (NTN)</w:t>
      </w:r>
    </w:p>
    <w:p w:rsidR="0048332A" w:rsidRDefault="008337A7">
      <w:pPr>
        <w:overflowPunct w:val="0"/>
        <w:autoSpaceDE w:val="0"/>
        <w:autoSpaceDN w:val="0"/>
        <w:adjustRightInd w:val="0"/>
        <w:spacing w:beforeLines="50" w:before="120" w:afterLines="50" w:after="120"/>
        <w:jc w:val="both"/>
        <w:textAlignment w:val="baseline"/>
        <w:rPr>
          <w:color w:val="000000"/>
          <w:sz w:val="20"/>
          <w:szCs w:val="20"/>
        </w:rPr>
      </w:pPr>
      <w:r>
        <w:rPr>
          <w:rFonts w:eastAsia="Malgun Gothic"/>
          <w:sz w:val="20"/>
          <w:lang w:eastAsia="ko-KR"/>
        </w:rPr>
        <w:t xml:space="preserve">Per overall 6G vision on network performance </w:t>
      </w:r>
      <w:r>
        <w:rPr>
          <w:color w:val="000000"/>
          <w:sz w:val="20"/>
          <w:szCs w:val="20"/>
        </w:rPr>
        <w:t>(e.g., coverage and cell-edge performance) along with the overall energy consumption</w:t>
      </w:r>
      <w:r>
        <w:rPr>
          <w:rFonts w:eastAsia="Malgun Gothic"/>
          <w:sz w:val="20"/>
          <w:lang w:eastAsia="ko-KR"/>
        </w:rPr>
        <w:t>, another critical scenario of ‘multi-layer heterogeneous network with assisting node’ is identified and then the corresponding evaluation assumption is elaborated accordingly.</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After that, for other captured scenario(s) in TR 38.914, we can consider the evaluation assumption from 5G NR as a starting point (for sensing, we also provide our additional views on highway, urban grid and nearshore waters, besides for indoor factory, dense urban, urban macro, rural).</w:t>
      </w:r>
    </w:p>
    <w:p w:rsidR="0048332A" w:rsidRDefault="008337A7">
      <w:pPr>
        <w:numPr>
          <w:ilvl w:val="2"/>
          <w:numId w:val="1"/>
        </w:numPr>
        <w:snapToGrid w:val="0"/>
        <w:spacing w:before="240" w:afterLines="50" w:after="120"/>
        <w:jc w:val="both"/>
        <w:outlineLvl w:val="2"/>
        <w:rPr>
          <w:b/>
          <w:sz w:val="24"/>
          <w:szCs w:val="28"/>
        </w:rPr>
      </w:pPr>
      <w:r>
        <w:rPr>
          <w:b/>
          <w:sz w:val="24"/>
          <w:szCs w:val="28"/>
        </w:rPr>
        <w:t>Indoor hotspot</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The indoor hotspot scenario is characterized by high user density and high capacity. Due to deployment constraints, the ultra-massive antenna arrays can hardly be deployed. Then, the open office layout as shown in Figure 2-1-1 can be considered as the starting point for evaluation.</w:t>
      </w:r>
    </w:p>
    <w:p w:rsidR="0048332A" w:rsidRDefault="008337A7">
      <w:pPr>
        <w:overflowPunct w:val="0"/>
        <w:autoSpaceDE w:val="0"/>
        <w:autoSpaceDN w:val="0"/>
        <w:adjustRightInd w:val="0"/>
        <w:spacing w:beforeLines="50" w:before="120" w:after="120" w:line="300" w:lineRule="auto"/>
        <w:jc w:val="center"/>
        <w:textAlignment w:val="baseline"/>
      </w:pPr>
      <w:r>
        <w:rPr>
          <w:noProof/>
        </w:rPr>
        <w:lastRenderedPageBreak/>
        <w:drawing>
          <wp:inline distT="0" distB="0" distL="0" distR="0">
            <wp:extent cx="3670935" cy="1778635"/>
            <wp:effectExtent l="0" t="0" r="5715"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686906" cy="1786273"/>
                    </a:xfrm>
                    <a:prstGeom prst="rect">
                      <a:avLst/>
                    </a:prstGeom>
                    <a:noFill/>
                    <a:ln>
                      <a:noFill/>
                    </a:ln>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sz w:val="20"/>
        </w:rPr>
      </w:pPr>
      <w:r>
        <w:rPr>
          <w:rFonts w:hint="eastAsia"/>
          <w:b/>
          <w:sz w:val="20"/>
        </w:rPr>
        <w:t>F</w:t>
      </w:r>
      <w:r>
        <w:rPr>
          <w:b/>
          <w:sz w:val="20"/>
        </w:rPr>
        <w:t>igure 2-1-1</w:t>
      </w:r>
      <w:r>
        <w:rPr>
          <w:sz w:val="20"/>
        </w:rPr>
        <w:t xml:space="preserve"> Layout of indoor hotspot</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Considering the small inter-TRP spacing/distance and severe inter-TRP interference in indoor hotspot, multi-TRP based transmission schemes emerge as a key technical solution via effectively mitigating interference and enhancing indoor capacity. Then, to achieve the target of 6GR technical performance requirement (TPR), the scale/number of coordinated TRP(s) should be thoroughly evaluated under realistic implementation complexity.</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 xml:space="preserve">Furthermore, since indoor antenna arrays are typically deployed on ceilings or walls, the minimum 3D distance from TRP to UE(s) is 2m. This means that to guarantee the accuracy of evaluation, near-field channel characteristics approved in TR 38.901 as a new channel feature supported in Rel-19 should be considered accordingly. Additionally, the new spatial non-stationarity (SNS) channel model, should also be </w:t>
      </w:r>
      <w:proofErr w:type="gramStart"/>
      <w:r>
        <w:rPr>
          <w:rFonts w:eastAsia="Malgun Gothic"/>
          <w:sz w:val="20"/>
          <w:lang w:eastAsia="ko-KR"/>
        </w:rPr>
        <w:t>taken into account</w:t>
      </w:r>
      <w:proofErr w:type="gramEnd"/>
      <w:r>
        <w:rPr>
          <w:rFonts w:eastAsia="Malgun Gothic"/>
          <w:sz w:val="20"/>
          <w:lang w:eastAsia="ko-KR"/>
        </w:rPr>
        <w:t xml:space="preserve"> in the evaluation.</w:t>
      </w:r>
    </w:p>
    <w:p w:rsidR="0048332A" w:rsidRDefault="008337A7">
      <w:pPr>
        <w:snapToGrid w:val="0"/>
        <w:spacing w:before="120" w:afterLines="50" w:after="120"/>
        <w:jc w:val="both"/>
        <w:textAlignment w:val="center"/>
        <w:rPr>
          <w:i/>
          <w:sz w:val="20"/>
        </w:rPr>
      </w:pPr>
      <w:r>
        <w:rPr>
          <w:b/>
          <w:i/>
          <w:sz w:val="20"/>
          <w:u w:val="single"/>
        </w:rPr>
        <w:t>Proposal</w:t>
      </w:r>
      <w:r>
        <w:rPr>
          <w:rFonts w:hint="eastAsia"/>
          <w:b/>
          <w:i/>
          <w:sz w:val="20"/>
          <w:u w:val="single"/>
        </w:rPr>
        <w:t xml:space="preserve"> </w:t>
      </w:r>
      <w:r>
        <w:rPr>
          <w:b/>
          <w:i/>
          <w:sz w:val="20"/>
          <w:u w:val="single"/>
        </w:rPr>
        <w:t>2-1-1</w:t>
      </w:r>
      <w:r>
        <w:rPr>
          <w:b/>
          <w:i/>
          <w:sz w:val="20"/>
        </w:rPr>
        <w:t xml:space="preserve">: </w:t>
      </w:r>
      <w:r>
        <w:rPr>
          <w:rFonts w:hint="eastAsia"/>
          <w:bCs/>
          <w:i/>
          <w:sz w:val="20"/>
        </w:rPr>
        <w:t>For indoor hotspot, multi-TRP transmission and near-field</w:t>
      </w:r>
      <w:r>
        <w:rPr>
          <w:bCs/>
          <w:i/>
          <w:sz w:val="20"/>
        </w:rPr>
        <w:t>/SNS</w:t>
      </w:r>
      <w:r>
        <w:rPr>
          <w:rFonts w:hint="eastAsia"/>
          <w:bCs/>
          <w:i/>
          <w:sz w:val="20"/>
        </w:rPr>
        <w:t xml:space="preserve"> effects should be considered in the evaluation</w:t>
      </w:r>
      <w:r>
        <w:rPr>
          <w:bCs/>
          <w:i/>
          <w:sz w:val="20"/>
        </w:rPr>
        <w:t xml:space="preserve"> assumptions for 6GR</w:t>
      </w:r>
      <w:r>
        <w:rPr>
          <w:rFonts w:hint="eastAsia"/>
          <w:bCs/>
          <w:i/>
          <w:sz w:val="20"/>
        </w:rPr>
        <w:t xml:space="preserve">, in accordance with the assumptions in Table </w:t>
      </w:r>
      <w:r>
        <w:rPr>
          <w:bCs/>
          <w:i/>
          <w:sz w:val="20"/>
        </w:rPr>
        <w:t>2-1-</w:t>
      </w:r>
      <w:r>
        <w:rPr>
          <w:rFonts w:hint="eastAsia"/>
          <w:bCs/>
          <w:i/>
          <w:sz w:val="20"/>
        </w:rPr>
        <w:t>1.</w:t>
      </w:r>
    </w:p>
    <w:p w:rsidR="0048332A" w:rsidRDefault="008337A7">
      <w:pPr>
        <w:overflowPunct w:val="0"/>
        <w:autoSpaceDE w:val="0"/>
        <w:autoSpaceDN w:val="0"/>
        <w:adjustRightInd w:val="0"/>
        <w:jc w:val="center"/>
        <w:textAlignment w:val="baseline"/>
        <w:rPr>
          <w:rFonts w:eastAsia="Malgun Gothic"/>
          <w:sz w:val="20"/>
          <w:szCs w:val="20"/>
          <w:lang w:eastAsia="ko-KR"/>
        </w:rPr>
      </w:pPr>
      <w:r>
        <w:rPr>
          <w:rFonts w:eastAsia="Malgun Gothic" w:hint="eastAsia"/>
          <w:b/>
          <w:sz w:val="20"/>
          <w:szCs w:val="20"/>
          <w:lang w:eastAsia="ko-KR"/>
        </w:rPr>
        <w:t xml:space="preserve">Table </w:t>
      </w:r>
      <w:r>
        <w:rPr>
          <w:rFonts w:eastAsia="Malgun Gothic"/>
          <w:b/>
          <w:sz w:val="20"/>
          <w:szCs w:val="20"/>
          <w:lang w:eastAsia="ko-KR"/>
        </w:rPr>
        <w:t>2-1-1</w:t>
      </w:r>
      <w:r>
        <w:rPr>
          <w:rFonts w:eastAsia="Malgun Gothic" w:hint="eastAsia"/>
          <w:sz w:val="20"/>
          <w:szCs w:val="20"/>
          <w:lang w:eastAsia="ko-KR"/>
        </w:rPr>
        <w:t xml:space="preserve"> Evaluation assumptions for indoor hot</w:t>
      </w:r>
      <w:r>
        <w:rPr>
          <w:rFonts w:eastAsia="Malgun Gothic"/>
          <w:sz w:val="20"/>
          <w:szCs w:val="20"/>
          <w:lang w:eastAsia="ko-KR"/>
        </w:rPr>
        <w:t>spot scenario</w:t>
      </w:r>
    </w:p>
    <w:tbl>
      <w:tblPr>
        <w:tblStyle w:val="TableGrid"/>
        <w:tblW w:w="9355" w:type="dxa"/>
        <w:tblLayout w:type="fixed"/>
        <w:tblLook w:val="04A0" w:firstRow="1" w:lastRow="0" w:firstColumn="1" w:lastColumn="0" w:noHBand="0" w:noVBand="1"/>
      </w:tblPr>
      <w:tblGrid>
        <w:gridCol w:w="1696"/>
        <w:gridCol w:w="7659"/>
      </w:tblGrid>
      <w:tr w:rsidR="0048332A">
        <w:trPr>
          <w:trHeight w:val="365"/>
        </w:trPr>
        <w:tc>
          <w:tcPr>
            <w:tcW w:w="1696" w:type="dxa"/>
          </w:tcPr>
          <w:p w:rsidR="0048332A" w:rsidRDefault="008337A7">
            <w:pPr>
              <w:overflowPunct w:val="0"/>
              <w:autoSpaceDE w:val="0"/>
              <w:autoSpaceDN w:val="0"/>
              <w:adjustRightInd w:val="0"/>
              <w:textAlignment w:val="baseline"/>
              <w:rPr>
                <w:rFonts w:eastAsia="微软雅黑"/>
                <w:b/>
                <w:sz w:val="20"/>
                <w:szCs w:val="20"/>
              </w:rPr>
            </w:pPr>
            <w:r>
              <w:rPr>
                <w:rFonts w:eastAsia="微软雅黑" w:hint="eastAsia"/>
                <w:b/>
                <w:sz w:val="20"/>
                <w:szCs w:val="20"/>
              </w:rPr>
              <w:t>Parameter</w:t>
            </w:r>
            <w:r>
              <w:rPr>
                <w:rFonts w:eastAsia="微软雅黑"/>
                <w:b/>
                <w:sz w:val="20"/>
                <w:szCs w:val="20"/>
              </w:rPr>
              <w:t>s</w:t>
            </w:r>
          </w:p>
        </w:tc>
        <w:tc>
          <w:tcPr>
            <w:tcW w:w="7659" w:type="dxa"/>
          </w:tcPr>
          <w:p w:rsidR="0048332A" w:rsidRDefault="008337A7">
            <w:pPr>
              <w:overflowPunct w:val="0"/>
              <w:autoSpaceDE w:val="0"/>
              <w:autoSpaceDN w:val="0"/>
              <w:adjustRightInd w:val="0"/>
              <w:jc w:val="both"/>
              <w:textAlignment w:val="baseline"/>
              <w:rPr>
                <w:rFonts w:eastAsia="微软雅黑"/>
                <w:b/>
                <w:sz w:val="20"/>
                <w:szCs w:val="20"/>
              </w:rPr>
            </w:pPr>
            <w:r>
              <w:rPr>
                <w:rFonts w:eastAsia="微软雅黑" w:hint="eastAsia"/>
                <w:b/>
                <w:sz w:val="20"/>
                <w:szCs w:val="20"/>
              </w:rPr>
              <w:t>V</w:t>
            </w:r>
            <w:r>
              <w:rPr>
                <w:rFonts w:eastAsia="微软雅黑"/>
                <w:b/>
                <w:sz w:val="20"/>
                <w:szCs w:val="20"/>
              </w:rPr>
              <w:t>alues or assumptions</w:t>
            </w:r>
          </w:p>
        </w:tc>
      </w:tr>
      <w:tr w:rsidR="0048332A">
        <w:trPr>
          <w:trHeight w:val="332"/>
        </w:trPr>
        <w:tc>
          <w:tcPr>
            <w:tcW w:w="1696" w:type="dxa"/>
          </w:tcPr>
          <w:p w:rsidR="0048332A" w:rsidRDefault="008337A7">
            <w:pPr>
              <w:overflowPunct w:val="0"/>
              <w:autoSpaceDE w:val="0"/>
              <w:autoSpaceDN w:val="0"/>
              <w:adjustRightInd w:val="0"/>
              <w:textAlignment w:val="baseline"/>
              <w:rPr>
                <w:rFonts w:eastAsia="微软雅黑"/>
                <w:sz w:val="20"/>
                <w:szCs w:val="20"/>
              </w:rPr>
            </w:pPr>
            <w:r>
              <w:rPr>
                <w:rFonts w:eastAsia="微软雅黑"/>
                <w:sz w:val="20"/>
                <w:szCs w:val="20"/>
              </w:rPr>
              <w:t>L</w:t>
            </w:r>
            <w:r>
              <w:rPr>
                <w:rFonts w:eastAsia="微软雅黑" w:hint="eastAsia"/>
                <w:sz w:val="20"/>
                <w:szCs w:val="20"/>
              </w:rPr>
              <w:t>ay</w:t>
            </w:r>
            <w:r>
              <w:rPr>
                <w:rFonts w:eastAsia="微软雅黑"/>
                <w:sz w:val="20"/>
                <w:szCs w:val="20"/>
              </w:rPr>
              <w:t>out</w:t>
            </w:r>
          </w:p>
        </w:tc>
        <w:tc>
          <w:tcPr>
            <w:tcW w:w="7659"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 xml:space="preserve">Single layer with </w:t>
            </w:r>
            <w:r>
              <w:rPr>
                <w:rFonts w:eastAsia="微软雅黑"/>
                <w:sz w:val="20"/>
                <w:szCs w:val="20"/>
              </w:rPr>
              <w:t xml:space="preserve">ISD = 20m, </w:t>
            </w:r>
            <w:r>
              <w:rPr>
                <w:rFonts w:eastAsia="微软雅黑" w:hint="eastAsia"/>
                <w:sz w:val="20"/>
                <w:szCs w:val="20"/>
              </w:rPr>
              <w:t>12</w:t>
            </w:r>
            <w:r>
              <w:rPr>
                <w:rFonts w:eastAsia="微软雅黑"/>
                <w:sz w:val="20"/>
                <w:szCs w:val="20"/>
              </w:rPr>
              <w:t xml:space="preserve"> </w:t>
            </w:r>
            <w:r>
              <w:rPr>
                <w:rFonts w:eastAsia="微软雅黑" w:hint="eastAsia"/>
                <w:sz w:val="20"/>
                <w:szCs w:val="20"/>
              </w:rPr>
              <w:t xml:space="preserve">TRPs per 120m </w:t>
            </w:r>
            <m:oMath>
              <m:r>
                <m:rPr>
                  <m:sty m:val="p"/>
                </m:rPr>
                <w:rPr>
                  <w:rFonts w:ascii="Cambria Math" w:eastAsia="微软雅黑" w:hAnsi="Cambria Math"/>
                  <w:sz w:val="20"/>
                  <w:szCs w:val="20"/>
                </w:rPr>
                <m:t>×</m:t>
              </m:r>
            </m:oMath>
            <w:r>
              <w:rPr>
                <w:rFonts w:eastAsia="微软雅黑" w:hint="eastAsia"/>
                <w:sz w:val="20"/>
                <w:szCs w:val="20"/>
              </w:rPr>
              <w:t xml:space="preserve"> 50m</w:t>
            </w:r>
          </w:p>
        </w:tc>
      </w:tr>
      <w:tr w:rsidR="0048332A">
        <w:trPr>
          <w:trHeight w:val="260"/>
        </w:trPr>
        <w:tc>
          <w:tcPr>
            <w:tcW w:w="1696" w:type="dxa"/>
          </w:tcPr>
          <w:p w:rsidR="0048332A" w:rsidRDefault="008337A7">
            <w:pPr>
              <w:overflowPunct w:val="0"/>
              <w:autoSpaceDE w:val="0"/>
              <w:autoSpaceDN w:val="0"/>
              <w:adjustRightInd w:val="0"/>
              <w:textAlignment w:val="baseline"/>
              <w:rPr>
                <w:rFonts w:eastAsia="微软雅黑"/>
                <w:sz w:val="20"/>
                <w:szCs w:val="20"/>
              </w:rPr>
            </w:pPr>
            <w:r>
              <w:rPr>
                <w:rFonts w:eastAsia="微软雅黑" w:hint="eastAsia"/>
                <w:sz w:val="20"/>
                <w:szCs w:val="20"/>
              </w:rPr>
              <w:t>Carrier</w:t>
            </w:r>
            <w:r>
              <w:rPr>
                <w:rFonts w:eastAsia="微软雅黑"/>
                <w:sz w:val="20"/>
                <w:szCs w:val="20"/>
              </w:rPr>
              <w:t xml:space="preserve"> frequency</w:t>
            </w:r>
          </w:p>
        </w:tc>
        <w:tc>
          <w:tcPr>
            <w:tcW w:w="7659"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4</w:t>
            </w:r>
            <w:r>
              <w:rPr>
                <w:rFonts w:eastAsia="微软雅黑"/>
                <w:sz w:val="20"/>
                <w:szCs w:val="20"/>
              </w:rPr>
              <w:t>GHz, 7GHz, 30GHz</w:t>
            </w:r>
          </w:p>
        </w:tc>
      </w:tr>
      <w:tr w:rsidR="0048332A">
        <w:trPr>
          <w:trHeight w:val="269"/>
        </w:trPr>
        <w:tc>
          <w:tcPr>
            <w:tcW w:w="1696"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B</w:t>
            </w:r>
            <w:r>
              <w:rPr>
                <w:rFonts w:eastAsia="微软雅黑"/>
                <w:sz w:val="20"/>
                <w:szCs w:val="20"/>
              </w:rPr>
              <w:t>S antenna model</w:t>
            </w:r>
          </w:p>
        </w:tc>
        <w:tc>
          <w:tcPr>
            <w:tcW w:w="7659" w:type="dxa"/>
          </w:tcPr>
          <w:p w:rsidR="0048332A" w:rsidRPr="00E2221F" w:rsidRDefault="008337A7">
            <w:pPr>
              <w:pStyle w:val="ListParagraph"/>
              <w:numPr>
                <w:ilvl w:val="0"/>
                <w:numId w:val="9"/>
              </w:numPr>
              <w:overflowPunct w:val="0"/>
              <w:autoSpaceDE w:val="0"/>
              <w:autoSpaceDN w:val="0"/>
              <w:adjustRightIn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4GHz: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(4, 4, 2, 1, 1; 4, 4),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0.5)λ</w:t>
            </w:r>
            <w:proofErr w:type="gramEnd"/>
          </w:p>
          <w:p w:rsidR="0048332A" w:rsidRPr="00E2221F" w:rsidRDefault="008337A7">
            <w:pPr>
              <w:pStyle w:val="ListParagraph"/>
              <w:numPr>
                <w:ilvl w:val="0"/>
                <w:numId w:val="9"/>
              </w:numPr>
              <w:overflowPunct w:val="0"/>
              <w:autoSpaceDE w:val="0"/>
              <w:autoSpaceDN w:val="0"/>
              <w:adjustRightIn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7GHz: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(8, 8, 2, 1, 1; 8, 8),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0.5)λ</w:t>
            </w:r>
            <w:proofErr w:type="gramEnd"/>
          </w:p>
          <w:p w:rsidR="0048332A" w:rsidRPr="00E2221F" w:rsidRDefault="008337A7">
            <w:pPr>
              <w:pStyle w:val="ListParagraph"/>
              <w:numPr>
                <w:ilvl w:val="0"/>
                <w:numId w:val="9"/>
              </w:numPr>
              <w:overflowPunct w:val="0"/>
              <w:autoSpaceDE w:val="0"/>
              <w:autoSpaceDN w:val="0"/>
              <w:adjustRightIn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30GHz: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(4, 8, 2, 1, 1; 2, 2),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0.5)λ</w:t>
            </w:r>
            <w:proofErr w:type="gramEnd"/>
          </w:p>
        </w:tc>
      </w:tr>
      <w:tr w:rsidR="0048332A">
        <w:trPr>
          <w:trHeight w:val="1781"/>
        </w:trPr>
        <w:tc>
          <w:tcPr>
            <w:tcW w:w="1696"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U</w:t>
            </w:r>
            <w:r>
              <w:rPr>
                <w:rFonts w:eastAsia="微软雅黑"/>
                <w:sz w:val="20"/>
                <w:szCs w:val="20"/>
              </w:rPr>
              <w:t>E antenna model</w:t>
            </w:r>
          </w:p>
        </w:tc>
        <w:tc>
          <w:tcPr>
            <w:tcW w:w="7659"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 xml:space="preserve">Alt. </w:t>
            </w:r>
            <w:r>
              <w:rPr>
                <w:rFonts w:eastAsia="微软雅黑"/>
                <w:sz w:val="20"/>
                <w:szCs w:val="20"/>
              </w:rPr>
              <w:t xml:space="preserve">1: </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4GHz: Omnidirectional antenna</w:t>
            </w:r>
          </w:p>
          <w:p w:rsidR="0048332A" w:rsidRDefault="008337A7">
            <w:pPr>
              <w:overflowPunct w:val="0"/>
              <w:autoSpaceDE w:val="0"/>
              <w:autoSpaceDN w:val="0"/>
              <w:adjustRightInd w:val="0"/>
              <w:spacing w:afterLines="50" w:after="120"/>
              <w:jc w:val="both"/>
              <w:textAlignment w:val="baseline"/>
              <w:rPr>
                <w:rFonts w:eastAsia="微软雅黑"/>
                <w:sz w:val="20"/>
                <w:szCs w:val="20"/>
              </w:rPr>
            </w:pPr>
            <w:r>
              <w:rPr>
                <w:rFonts w:eastAsia="微软雅黑"/>
                <w:sz w:val="20"/>
                <w:szCs w:val="20"/>
              </w:rPr>
              <w:t>(M, N, P, M</w:t>
            </w:r>
            <w:r>
              <w:rPr>
                <w:rFonts w:eastAsia="微软雅黑"/>
                <w:sz w:val="20"/>
                <w:szCs w:val="20"/>
                <w:vertAlign w:val="subscript"/>
              </w:rPr>
              <w:t>g</w:t>
            </w:r>
            <w:r>
              <w:rPr>
                <w:rFonts w:eastAsia="微软雅黑"/>
                <w:sz w:val="20"/>
                <w:szCs w:val="20"/>
              </w:rPr>
              <w:t>, N</w:t>
            </w:r>
            <w:r>
              <w:rPr>
                <w:rFonts w:eastAsia="微软雅黑"/>
                <w:sz w:val="20"/>
                <w:szCs w:val="20"/>
                <w:vertAlign w:val="subscript"/>
              </w:rPr>
              <w:t>g</w:t>
            </w:r>
            <w:r>
              <w:rPr>
                <w:rFonts w:eastAsia="微软雅黑" w:hint="eastAsia"/>
                <w:sz w:val="20"/>
                <w:szCs w:val="20"/>
              </w:rPr>
              <w:t>;</w:t>
            </w:r>
            <w:r>
              <w:rPr>
                <w:rFonts w:eastAsia="微软雅黑"/>
                <w:sz w:val="20"/>
                <w:szCs w:val="20"/>
              </w:rPr>
              <w:t xml:space="preserve"> </w:t>
            </w:r>
            <w:proofErr w:type="spellStart"/>
            <w:r>
              <w:rPr>
                <w:rFonts w:eastAsia="微软雅黑"/>
                <w:sz w:val="20"/>
                <w:szCs w:val="20"/>
              </w:rPr>
              <w:t>M</w:t>
            </w:r>
            <w:r>
              <w:rPr>
                <w:rFonts w:eastAsia="微软雅黑" w:hint="eastAsia"/>
                <w:sz w:val="20"/>
                <w:szCs w:val="20"/>
                <w:vertAlign w:val="subscript"/>
              </w:rPr>
              <w:t>p</w:t>
            </w:r>
            <w:proofErr w:type="spellEnd"/>
            <w:r>
              <w:rPr>
                <w:rFonts w:eastAsia="微软雅黑"/>
                <w:sz w:val="20"/>
                <w:szCs w:val="20"/>
              </w:rPr>
              <w:t>, N</w:t>
            </w:r>
            <w:r>
              <w:rPr>
                <w:rFonts w:eastAsia="微软雅黑" w:hint="eastAsia"/>
                <w:sz w:val="20"/>
                <w:szCs w:val="20"/>
                <w:vertAlign w:val="subscript"/>
              </w:rPr>
              <w:t>p</w:t>
            </w:r>
            <w:r>
              <w:rPr>
                <w:rFonts w:eastAsia="微软雅黑"/>
                <w:sz w:val="20"/>
                <w:szCs w:val="20"/>
              </w:rPr>
              <w:t>) = (1, 2, 2, 1, 1</w:t>
            </w:r>
            <w:r>
              <w:rPr>
                <w:rFonts w:eastAsia="微软雅黑" w:hint="eastAsia"/>
                <w:sz w:val="20"/>
                <w:szCs w:val="20"/>
              </w:rPr>
              <w:t xml:space="preserve">; </w:t>
            </w:r>
            <w:r>
              <w:rPr>
                <w:rFonts w:eastAsia="微软雅黑"/>
                <w:sz w:val="20"/>
                <w:szCs w:val="20"/>
              </w:rPr>
              <w:t>1</w:t>
            </w:r>
            <w:r>
              <w:rPr>
                <w:rFonts w:eastAsia="微软雅黑" w:hint="eastAsia"/>
                <w:sz w:val="20"/>
                <w:szCs w:val="20"/>
              </w:rPr>
              <w:t>, 2</w:t>
            </w:r>
            <w:r>
              <w:rPr>
                <w:rFonts w:eastAsia="微软雅黑"/>
                <w:sz w:val="20"/>
                <w:szCs w:val="20"/>
              </w:rPr>
              <w:t>), (</w:t>
            </w:r>
            <w:proofErr w:type="spellStart"/>
            <w:r>
              <w:rPr>
                <w:rFonts w:eastAsia="微软雅黑"/>
                <w:sz w:val="20"/>
                <w:szCs w:val="20"/>
              </w:rPr>
              <w:t>d</w:t>
            </w:r>
            <w:r>
              <w:rPr>
                <w:rFonts w:eastAsia="微软雅黑"/>
                <w:sz w:val="20"/>
                <w:szCs w:val="20"/>
                <w:vertAlign w:val="subscript"/>
              </w:rPr>
              <w:t>H</w:t>
            </w:r>
            <w:proofErr w:type="spellEnd"/>
            <w:r>
              <w:rPr>
                <w:rFonts w:eastAsia="微软雅黑"/>
                <w:sz w:val="20"/>
                <w:szCs w:val="20"/>
              </w:rPr>
              <w:t xml:space="preserve">, </w:t>
            </w:r>
            <w:proofErr w:type="spellStart"/>
            <w:r>
              <w:rPr>
                <w:rFonts w:eastAsia="微软雅黑"/>
                <w:sz w:val="20"/>
                <w:szCs w:val="20"/>
              </w:rPr>
              <w:t>d</w:t>
            </w:r>
            <w:r>
              <w:rPr>
                <w:rFonts w:eastAsia="微软雅黑"/>
                <w:sz w:val="20"/>
                <w:szCs w:val="20"/>
                <w:vertAlign w:val="subscript"/>
              </w:rPr>
              <w:t>V</w:t>
            </w:r>
            <w:proofErr w:type="spellEnd"/>
            <w:r>
              <w:rPr>
                <w:rFonts w:eastAsia="微软雅黑"/>
                <w:sz w:val="20"/>
                <w:szCs w:val="20"/>
              </w:rPr>
              <w:t xml:space="preserve">) = (0.5, </w:t>
            </w:r>
            <w:proofErr w:type="gramStart"/>
            <w:r>
              <w:rPr>
                <w:rFonts w:eastAsia="微软雅黑"/>
                <w:sz w:val="20"/>
                <w:szCs w:val="20"/>
              </w:rPr>
              <w:t>0.5)λ</w:t>
            </w:r>
            <w:proofErr w:type="gramEnd"/>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7GHz: Omnidirectional antenna</w:t>
            </w:r>
          </w:p>
          <w:p w:rsidR="0048332A" w:rsidRDefault="008337A7">
            <w:pPr>
              <w:overflowPunct w:val="0"/>
              <w:autoSpaceDE w:val="0"/>
              <w:autoSpaceDN w:val="0"/>
              <w:adjustRightInd w:val="0"/>
              <w:spacing w:afterLines="50" w:after="120"/>
              <w:jc w:val="both"/>
              <w:textAlignment w:val="baseline"/>
              <w:rPr>
                <w:rFonts w:eastAsia="微软雅黑"/>
                <w:sz w:val="20"/>
                <w:szCs w:val="20"/>
              </w:rPr>
            </w:pPr>
            <w:r>
              <w:rPr>
                <w:rFonts w:eastAsia="微软雅黑"/>
                <w:sz w:val="20"/>
                <w:szCs w:val="20"/>
              </w:rPr>
              <w:t>(M, N, P, M</w:t>
            </w:r>
            <w:r>
              <w:rPr>
                <w:rFonts w:eastAsia="微软雅黑"/>
                <w:sz w:val="20"/>
                <w:szCs w:val="20"/>
                <w:vertAlign w:val="subscript"/>
              </w:rPr>
              <w:t>g</w:t>
            </w:r>
            <w:r>
              <w:rPr>
                <w:rFonts w:eastAsia="微软雅黑"/>
                <w:sz w:val="20"/>
                <w:szCs w:val="20"/>
              </w:rPr>
              <w:t>, N</w:t>
            </w:r>
            <w:r>
              <w:rPr>
                <w:rFonts w:eastAsia="微软雅黑"/>
                <w:sz w:val="20"/>
                <w:szCs w:val="20"/>
                <w:vertAlign w:val="subscript"/>
              </w:rPr>
              <w:t>g</w:t>
            </w:r>
            <w:r>
              <w:rPr>
                <w:rFonts w:eastAsia="微软雅黑" w:hint="eastAsia"/>
                <w:sz w:val="20"/>
                <w:szCs w:val="20"/>
              </w:rPr>
              <w:t>;</w:t>
            </w:r>
            <w:r>
              <w:rPr>
                <w:rFonts w:eastAsia="微软雅黑"/>
                <w:sz w:val="20"/>
                <w:szCs w:val="20"/>
              </w:rPr>
              <w:t xml:space="preserve"> </w:t>
            </w:r>
            <w:proofErr w:type="spellStart"/>
            <w:r>
              <w:rPr>
                <w:rFonts w:eastAsia="微软雅黑"/>
                <w:sz w:val="20"/>
                <w:szCs w:val="20"/>
              </w:rPr>
              <w:t>M</w:t>
            </w:r>
            <w:r>
              <w:rPr>
                <w:rFonts w:eastAsia="微软雅黑" w:hint="eastAsia"/>
                <w:sz w:val="20"/>
                <w:szCs w:val="20"/>
                <w:vertAlign w:val="subscript"/>
              </w:rPr>
              <w:t>p</w:t>
            </w:r>
            <w:proofErr w:type="spellEnd"/>
            <w:r>
              <w:rPr>
                <w:rFonts w:eastAsia="微软雅黑"/>
                <w:sz w:val="20"/>
                <w:szCs w:val="20"/>
              </w:rPr>
              <w:t>, N</w:t>
            </w:r>
            <w:r>
              <w:rPr>
                <w:rFonts w:eastAsia="微软雅黑" w:hint="eastAsia"/>
                <w:sz w:val="20"/>
                <w:szCs w:val="20"/>
                <w:vertAlign w:val="subscript"/>
              </w:rPr>
              <w:t>p</w:t>
            </w:r>
            <w:r>
              <w:rPr>
                <w:rFonts w:eastAsia="微软雅黑"/>
                <w:sz w:val="20"/>
                <w:szCs w:val="20"/>
              </w:rPr>
              <w:t>) = (1, 2, 2, 1, 1</w:t>
            </w:r>
            <w:r>
              <w:rPr>
                <w:rFonts w:eastAsia="微软雅黑" w:hint="eastAsia"/>
                <w:sz w:val="20"/>
                <w:szCs w:val="20"/>
              </w:rPr>
              <w:t xml:space="preserve">; </w:t>
            </w:r>
            <w:r>
              <w:rPr>
                <w:rFonts w:eastAsia="微软雅黑"/>
                <w:sz w:val="20"/>
                <w:szCs w:val="20"/>
              </w:rPr>
              <w:t>1</w:t>
            </w:r>
            <w:r>
              <w:rPr>
                <w:rFonts w:eastAsia="微软雅黑" w:hint="eastAsia"/>
                <w:sz w:val="20"/>
                <w:szCs w:val="20"/>
              </w:rPr>
              <w:t>, 2</w:t>
            </w:r>
            <w:r>
              <w:rPr>
                <w:rFonts w:eastAsia="微软雅黑"/>
                <w:sz w:val="20"/>
                <w:szCs w:val="20"/>
              </w:rPr>
              <w:t>), or (2, 2, 2, 1, 1</w:t>
            </w:r>
            <w:r>
              <w:rPr>
                <w:rFonts w:eastAsia="微软雅黑" w:hint="eastAsia"/>
                <w:sz w:val="20"/>
                <w:szCs w:val="20"/>
              </w:rPr>
              <w:t xml:space="preserve">; </w:t>
            </w:r>
            <w:r>
              <w:rPr>
                <w:rFonts w:eastAsia="微软雅黑"/>
                <w:sz w:val="20"/>
                <w:szCs w:val="20"/>
              </w:rPr>
              <w:t>2</w:t>
            </w:r>
            <w:r>
              <w:rPr>
                <w:rFonts w:eastAsia="微软雅黑" w:hint="eastAsia"/>
                <w:sz w:val="20"/>
                <w:szCs w:val="20"/>
              </w:rPr>
              <w:t>, 2</w:t>
            </w:r>
            <w:r>
              <w:rPr>
                <w:rFonts w:eastAsia="微软雅黑"/>
                <w:sz w:val="20"/>
                <w:szCs w:val="20"/>
              </w:rPr>
              <w:t>) (e.g., for advanced UE/CPE), (</w:t>
            </w:r>
            <w:proofErr w:type="spellStart"/>
            <w:r>
              <w:rPr>
                <w:rFonts w:eastAsia="微软雅黑"/>
                <w:sz w:val="20"/>
                <w:szCs w:val="20"/>
              </w:rPr>
              <w:t>d</w:t>
            </w:r>
            <w:r>
              <w:rPr>
                <w:rFonts w:eastAsia="微软雅黑"/>
                <w:sz w:val="20"/>
                <w:szCs w:val="20"/>
                <w:vertAlign w:val="subscript"/>
              </w:rPr>
              <w:t>H</w:t>
            </w:r>
            <w:proofErr w:type="spellEnd"/>
            <w:r>
              <w:rPr>
                <w:rFonts w:eastAsia="微软雅黑"/>
                <w:sz w:val="20"/>
                <w:szCs w:val="20"/>
              </w:rPr>
              <w:t xml:space="preserve">, </w:t>
            </w:r>
            <w:proofErr w:type="spellStart"/>
            <w:r>
              <w:rPr>
                <w:rFonts w:eastAsia="微软雅黑"/>
                <w:sz w:val="20"/>
                <w:szCs w:val="20"/>
              </w:rPr>
              <w:t>d</w:t>
            </w:r>
            <w:r>
              <w:rPr>
                <w:rFonts w:eastAsia="微软雅黑"/>
                <w:sz w:val="20"/>
                <w:szCs w:val="20"/>
                <w:vertAlign w:val="subscript"/>
              </w:rPr>
              <w:t>V</w:t>
            </w:r>
            <w:proofErr w:type="spellEnd"/>
            <w:r>
              <w:rPr>
                <w:rFonts w:eastAsia="微软雅黑"/>
                <w:sz w:val="20"/>
                <w:szCs w:val="20"/>
              </w:rPr>
              <w:t xml:space="preserve">) = (0.5, </w:t>
            </w:r>
            <w:proofErr w:type="gramStart"/>
            <w:r>
              <w:rPr>
                <w:rFonts w:eastAsia="微软雅黑"/>
                <w:sz w:val="20"/>
                <w:szCs w:val="20"/>
              </w:rPr>
              <w:t>0.5)λ</w:t>
            </w:r>
            <w:proofErr w:type="gramEnd"/>
          </w:p>
          <w:p w:rsidR="0048332A" w:rsidRPr="00E2221F" w:rsidRDefault="008337A7">
            <w:pPr>
              <w:pStyle w:val="ListParagraph"/>
              <w:numPr>
                <w:ilvl w:val="0"/>
                <w:numId w:val="10"/>
              </w:numPr>
              <w:overflowPunct w:val="0"/>
              <w:autoSpaceDE w:val="0"/>
              <w:autoSpaceDN w:val="0"/>
              <w:adjustRightIn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 xml:space="preserve">30GHz: Directional antenna, see A.2.1-8 in TS 38.802 </w:t>
            </w:r>
            <w:r w:rsidRPr="00E2221F">
              <w:rPr>
                <w:rFonts w:ascii="Times New Roman" w:eastAsia="微软雅黑" w:hAnsi="Times New Roman"/>
                <w:szCs w:val="20"/>
              </w:rPr>
              <w:fldChar w:fldCharType="begin"/>
            </w:r>
            <w:r w:rsidRPr="00E2221F">
              <w:rPr>
                <w:rFonts w:ascii="Times New Roman" w:eastAsia="微软雅黑" w:hAnsi="Times New Roman"/>
                <w:szCs w:val="20"/>
              </w:rPr>
              <w:instrText xml:space="preserve"> REF _Ref205826938 \r \h </w:instrText>
            </w:r>
            <w:r w:rsidRPr="00E2221F">
              <w:rPr>
                <w:rFonts w:ascii="Times New Roman" w:eastAsia="微软雅黑" w:hAnsi="Times New Roman"/>
                <w:szCs w:val="20"/>
              </w:rPr>
            </w:r>
            <w:r w:rsidRPr="00E2221F">
              <w:rPr>
                <w:rFonts w:ascii="Times New Roman" w:eastAsia="微软雅黑" w:hAnsi="Times New Roman"/>
                <w:szCs w:val="20"/>
              </w:rPr>
              <w:fldChar w:fldCharType="separate"/>
            </w:r>
            <w:r w:rsidR="00FD4494">
              <w:rPr>
                <w:rFonts w:ascii="Times New Roman" w:eastAsia="微软雅黑" w:hAnsi="Times New Roman"/>
                <w:szCs w:val="20"/>
              </w:rPr>
              <w:t>[3]</w:t>
            </w:r>
            <w:r w:rsidRPr="00E2221F">
              <w:rPr>
                <w:rFonts w:ascii="Times New Roman" w:eastAsia="微软雅黑" w:hAnsi="Times New Roman"/>
                <w:szCs w:val="20"/>
              </w:rPr>
              <w:fldChar w:fldCharType="end"/>
            </w:r>
          </w:p>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(M, N, P, M</w:t>
            </w:r>
            <w:r>
              <w:rPr>
                <w:rFonts w:eastAsia="微软雅黑"/>
                <w:sz w:val="20"/>
                <w:szCs w:val="20"/>
                <w:vertAlign w:val="subscript"/>
              </w:rPr>
              <w:t>g</w:t>
            </w:r>
            <w:r>
              <w:rPr>
                <w:rFonts w:eastAsia="微软雅黑"/>
                <w:sz w:val="20"/>
                <w:szCs w:val="20"/>
              </w:rPr>
              <w:t>, N</w:t>
            </w:r>
            <w:r>
              <w:rPr>
                <w:rFonts w:eastAsia="微软雅黑"/>
                <w:sz w:val="20"/>
                <w:szCs w:val="20"/>
                <w:vertAlign w:val="subscript"/>
              </w:rPr>
              <w:t>g</w:t>
            </w:r>
            <w:r>
              <w:rPr>
                <w:rFonts w:eastAsia="微软雅黑" w:hint="eastAsia"/>
                <w:sz w:val="20"/>
                <w:szCs w:val="20"/>
              </w:rPr>
              <w:t>;</w:t>
            </w:r>
            <w:r>
              <w:rPr>
                <w:rFonts w:eastAsia="微软雅黑"/>
                <w:sz w:val="20"/>
                <w:szCs w:val="20"/>
              </w:rPr>
              <w:t xml:space="preserve"> </w:t>
            </w:r>
            <w:proofErr w:type="spellStart"/>
            <w:r>
              <w:rPr>
                <w:rFonts w:eastAsia="微软雅黑"/>
                <w:sz w:val="20"/>
                <w:szCs w:val="20"/>
              </w:rPr>
              <w:t>M</w:t>
            </w:r>
            <w:r>
              <w:rPr>
                <w:rFonts w:eastAsia="微软雅黑" w:hint="eastAsia"/>
                <w:sz w:val="20"/>
                <w:szCs w:val="20"/>
                <w:vertAlign w:val="subscript"/>
              </w:rPr>
              <w:t>p</w:t>
            </w:r>
            <w:proofErr w:type="spellEnd"/>
            <w:r>
              <w:rPr>
                <w:rFonts w:eastAsia="微软雅黑"/>
                <w:sz w:val="20"/>
                <w:szCs w:val="20"/>
              </w:rPr>
              <w:t>, N</w:t>
            </w:r>
            <w:r>
              <w:rPr>
                <w:rFonts w:eastAsia="微软雅黑" w:hint="eastAsia"/>
                <w:sz w:val="20"/>
                <w:szCs w:val="20"/>
                <w:vertAlign w:val="subscript"/>
              </w:rPr>
              <w:t>p</w:t>
            </w:r>
            <w:r>
              <w:rPr>
                <w:rFonts w:eastAsia="微软雅黑"/>
                <w:sz w:val="20"/>
                <w:szCs w:val="20"/>
              </w:rPr>
              <w:t>) = (2, 4, 2, 1, 2; 1, 2),</w:t>
            </w:r>
          </w:p>
          <w:p w:rsidR="0048332A" w:rsidRDefault="008337A7">
            <w:pPr>
              <w:overflowPunct w:val="0"/>
              <w:autoSpaceDE w:val="0"/>
              <w:autoSpaceDN w:val="0"/>
              <w:adjustRightInd w:val="0"/>
              <w:spacing w:afterLines="50" w:after="120"/>
              <w:jc w:val="both"/>
              <w:textAlignment w:val="baseline"/>
              <w:rPr>
                <w:rFonts w:eastAsia="微软雅黑"/>
                <w:sz w:val="20"/>
                <w:szCs w:val="20"/>
              </w:rPr>
            </w:pPr>
            <w:r>
              <w:rPr>
                <w:rFonts w:eastAsia="微软雅黑"/>
                <w:sz w:val="20"/>
                <w:szCs w:val="20"/>
              </w:rPr>
              <w:t>(</w:t>
            </w:r>
            <w:proofErr w:type="spellStart"/>
            <w:r>
              <w:rPr>
                <w:rFonts w:eastAsia="微软雅黑"/>
                <w:sz w:val="20"/>
                <w:szCs w:val="20"/>
              </w:rPr>
              <w:t>d</w:t>
            </w:r>
            <w:r>
              <w:rPr>
                <w:rFonts w:eastAsia="微软雅黑"/>
                <w:sz w:val="20"/>
                <w:szCs w:val="20"/>
                <w:vertAlign w:val="subscript"/>
              </w:rPr>
              <w:t>H</w:t>
            </w:r>
            <w:proofErr w:type="spellEnd"/>
            <w:r>
              <w:rPr>
                <w:rFonts w:eastAsia="微软雅黑"/>
                <w:sz w:val="20"/>
                <w:szCs w:val="20"/>
              </w:rPr>
              <w:t xml:space="preserve">, </w:t>
            </w:r>
            <w:proofErr w:type="spellStart"/>
            <w:r>
              <w:rPr>
                <w:rFonts w:eastAsia="微软雅黑"/>
                <w:sz w:val="20"/>
                <w:szCs w:val="20"/>
              </w:rPr>
              <w:t>d</w:t>
            </w:r>
            <w:r>
              <w:rPr>
                <w:rFonts w:eastAsia="微软雅黑"/>
                <w:sz w:val="20"/>
                <w:szCs w:val="20"/>
                <w:vertAlign w:val="subscript"/>
              </w:rPr>
              <w:t>V</w:t>
            </w:r>
            <w:proofErr w:type="spellEnd"/>
            <w:r>
              <w:rPr>
                <w:rFonts w:eastAsia="微软雅黑"/>
                <w:sz w:val="20"/>
                <w:szCs w:val="20"/>
              </w:rPr>
              <w:t xml:space="preserve">) = (0.5, </w:t>
            </w:r>
            <w:proofErr w:type="gramStart"/>
            <w:r>
              <w:rPr>
                <w:rFonts w:eastAsia="微软雅黑"/>
                <w:sz w:val="20"/>
                <w:szCs w:val="20"/>
              </w:rPr>
              <w:t>0.5)λ</w:t>
            </w:r>
            <w:proofErr w:type="gramEnd"/>
            <w:r>
              <w:rPr>
                <w:rFonts w:eastAsia="微软雅黑"/>
                <w:sz w:val="20"/>
                <w:szCs w:val="20"/>
              </w:rPr>
              <w:t>, (</w:t>
            </w:r>
            <w:proofErr w:type="spellStart"/>
            <w:r>
              <w:rPr>
                <w:rFonts w:eastAsia="微软雅黑"/>
                <w:sz w:val="20"/>
                <w:szCs w:val="20"/>
              </w:rPr>
              <w:t>d</w:t>
            </w:r>
            <w:r>
              <w:rPr>
                <w:rFonts w:eastAsia="微软雅黑"/>
                <w:sz w:val="20"/>
                <w:szCs w:val="20"/>
                <w:vertAlign w:val="subscript"/>
              </w:rPr>
              <w:t>H,g</w:t>
            </w:r>
            <w:proofErr w:type="spellEnd"/>
            <w:r>
              <w:rPr>
                <w:rFonts w:eastAsia="微软雅黑"/>
                <w:sz w:val="20"/>
                <w:szCs w:val="20"/>
              </w:rPr>
              <w:t xml:space="preserve">, </w:t>
            </w:r>
            <w:proofErr w:type="spellStart"/>
            <w:r>
              <w:rPr>
                <w:rFonts w:eastAsia="微软雅黑"/>
                <w:sz w:val="20"/>
                <w:szCs w:val="20"/>
              </w:rPr>
              <w:t>d</w:t>
            </w:r>
            <w:r>
              <w:rPr>
                <w:rFonts w:eastAsia="微软雅黑"/>
                <w:sz w:val="20"/>
                <w:szCs w:val="20"/>
                <w:vertAlign w:val="subscript"/>
              </w:rPr>
              <w:t>V,g</w:t>
            </w:r>
            <w:proofErr w:type="spellEnd"/>
            <w:r>
              <w:rPr>
                <w:rFonts w:eastAsia="微软雅黑"/>
                <w:sz w:val="20"/>
                <w:szCs w:val="20"/>
              </w:rPr>
              <w:t xml:space="preserve">) = (0, 0)λ, </w:t>
            </w:r>
            <w:r>
              <w:rPr>
                <w:rFonts w:eastAsia="微软雅黑" w:hint="eastAsia"/>
                <w:sz w:val="20"/>
                <w:szCs w:val="20"/>
              </w:rPr>
              <w:t>Θ</w:t>
            </w:r>
            <w:proofErr w:type="spellStart"/>
            <w:r>
              <w:rPr>
                <w:rFonts w:eastAsia="微软雅黑"/>
                <w:sz w:val="20"/>
                <w:szCs w:val="20"/>
                <w:vertAlign w:val="subscript"/>
              </w:rPr>
              <w:t>mg,ng</w:t>
            </w:r>
            <w:proofErr w:type="spellEnd"/>
            <w:r>
              <w:rPr>
                <w:rFonts w:eastAsia="微软雅黑"/>
                <w:sz w:val="20"/>
                <w:szCs w:val="20"/>
              </w:rPr>
              <w:t>=90°, Ω</w:t>
            </w:r>
            <w:r>
              <w:rPr>
                <w:rFonts w:eastAsia="微软雅黑"/>
                <w:sz w:val="20"/>
                <w:szCs w:val="20"/>
                <w:vertAlign w:val="subscript"/>
              </w:rPr>
              <w:t>0,1</w:t>
            </w:r>
            <w:r>
              <w:rPr>
                <w:rFonts w:eastAsia="微软雅黑"/>
                <w:sz w:val="20"/>
                <w:szCs w:val="20"/>
              </w:rPr>
              <w:t>=Ω</w:t>
            </w:r>
            <w:r>
              <w:rPr>
                <w:rFonts w:eastAsia="微软雅黑"/>
                <w:sz w:val="20"/>
                <w:szCs w:val="20"/>
                <w:vertAlign w:val="subscript"/>
              </w:rPr>
              <w:t>0,0</w:t>
            </w:r>
            <w:r>
              <w:rPr>
                <w:rFonts w:eastAsia="微软雅黑"/>
                <w:sz w:val="20"/>
                <w:szCs w:val="20"/>
              </w:rPr>
              <w:t>+180°</w:t>
            </w:r>
          </w:p>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 xml:space="preserve">Alt. 2: Handheld UT model in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r>
              <w:rPr>
                <w:rFonts w:eastAsia="微软雅黑"/>
                <w:sz w:val="20"/>
                <w:szCs w:val="20"/>
              </w:rPr>
              <w:t>, where the number of antenna ports is {2, 4, 8}.</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4GHz: 4</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7GHz: {4,8}</w:t>
            </w:r>
          </w:p>
        </w:tc>
      </w:tr>
      <w:tr w:rsidR="0048332A">
        <w:tc>
          <w:tcPr>
            <w:tcW w:w="1696"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B</w:t>
            </w:r>
            <w:r>
              <w:rPr>
                <w:rFonts w:eastAsia="微软雅黑"/>
                <w:sz w:val="20"/>
                <w:szCs w:val="20"/>
              </w:rPr>
              <w:t>S height</w:t>
            </w:r>
          </w:p>
        </w:tc>
        <w:tc>
          <w:tcPr>
            <w:tcW w:w="7659"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3m</w:t>
            </w:r>
          </w:p>
        </w:tc>
      </w:tr>
      <w:tr w:rsidR="0048332A">
        <w:tc>
          <w:tcPr>
            <w:tcW w:w="1696"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U</w:t>
            </w:r>
            <w:r>
              <w:rPr>
                <w:rFonts w:eastAsia="微软雅黑"/>
                <w:sz w:val="20"/>
                <w:szCs w:val="20"/>
              </w:rPr>
              <w:t>E height</w:t>
            </w:r>
          </w:p>
        </w:tc>
        <w:tc>
          <w:tcPr>
            <w:tcW w:w="7659"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1m</w:t>
            </w:r>
          </w:p>
        </w:tc>
      </w:tr>
      <w:tr w:rsidR="0048332A">
        <w:tc>
          <w:tcPr>
            <w:tcW w:w="1696" w:type="dxa"/>
          </w:tcPr>
          <w:p w:rsidR="0048332A" w:rsidRDefault="008337A7">
            <w:pPr>
              <w:overflowPunct w:val="0"/>
              <w:autoSpaceDE w:val="0"/>
              <w:autoSpaceDN w:val="0"/>
              <w:adjustRightInd w:val="0"/>
              <w:jc w:val="both"/>
              <w:textAlignment w:val="baseline"/>
              <w:rPr>
                <w:rFonts w:eastAsia="微软雅黑"/>
                <w:sz w:val="20"/>
                <w:szCs w:val="20"/>
              </w:rPr>
            </w:pPr>
            <w:r>
              <w:rPr>
                <w:sz w:val="20"/>
                <w:szCs w:val="20"/>
              </w:rPr>
              <w:t>Traffic model</w:t>
            </w:r>
          </w:p>
        </w:tc>
        <w:tc>
          <w:tcPr>
            <w:tcW w:w="7659" w:type="dxa"/>
          </w:tcPr>
          <w:p w:rsidR="0048332A" w:rsidRDefault="008337A7">
            <w:pPr>
              <w:overflowPunct w:val="0"/>
              <w:autoSpaceDE w:val="0"/>
              <w:autoSpaceDN w:val="0"/>
              <w:adjustRightInd w:val="0"/>
              <w:snapToGrid w:val="0"/>
              <w:jc w:val="both"/>
              <w:textAlignment w:val="baseline"/>
              <w:rPr>
                <w:sz w:val="20"/>
                <w:szCs w:val="20"/>
              </w:rPr>
            </w:pPr>
            <w:r>
              <w:rPr>
                <w:sz w:val="20"/>
                <w:szCs w:val="20"/>
              </w:rPr>
              <w:t>Full buffer and FTP model 1/2/3 with packet size 0.02, 0.1 and 0.5Mbytes (other value is not precluded).</w:t>
            </w:r>
          </w:p>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Other traffic models are not precluded.</w:t>
            </w:r>
          </w:p>
        </w:tc>
      </w:tr>
      <w:tr w:rsidR="0048332A">
        <w:trPr>
          <w:trHeight w:val="224"/>
        </w:trPr>
        <w:tc>
          <w:tcPr>
            <w:tcW w:w="1696"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lastRenderedPageBreak/>
              <w:t>Additional channel modeling features</w:t>
            </w:r>
          </w:p>
        </w:tc>
        <w:tc>
          <w:tcPr>
            <w:tcW w:w="765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 xml:space="preserve">Near-field and SNS channel model in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p>
        </w:tc>
      </w:tr>
    </w:tbl>
    <w:p w:rsidR="0048332A" w:rsidRDefault="008337A7">
      <w:pPr>
        <w:numPr>
          <w:ilvl w:val="2"/>
          <w:numId w:val="1"/>
        </w:numPr>
        <w:snapToGrid w:val="0"/>
        <w:spacing w:before="240" w:afterLines="50" w:after="120"/>
        <w:jc w:val="both"/>
        <w:outlineLvl w:val="2"/>
        <w:rPr>
          <w:b/>
          <w:sz w:val="24"/>
          <w:szCs w:val="28"/>
        </w:rPr>
      </w:pPr>
      <w:r>
        <w:rPr>
          <w:b/>
          <w:sz w:val="24"/>
          <w:szCs w:val="28"/>
        </w:rPr>
        <w:t>Dense urban and urban macro</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 xml:space="preserve">Dense urban and urban macro represent typical deployment scenario(s) for mobile networks, characterized by high user density and traffic load. For new spectrum of U6GHz </w:t>
      </w:r>
      <w:r>
        <w:rPr>
          <w:rFonts w:hint="eastAsia"/>
          <w:sz w:val="20"/>
        </w:rPr>
        <w:t>in</w:t>
      </w:r>
      <w:r>
        <w:rPr>
          <w:rFonts w:eastAsia="Malgun Gothic"/>
          <w:sz w:val="20"/>
          <w:lang w:eastAsia="ko-KR"/>
        </w:rPr>
        <w:t xml:space="preserve"> 6GR, given that NW should maintain the same ISD as in mid-band (e.g., C-band), the evaluation on achieving coverage capabilities should be prioritized. </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To achieve this objective, the TRP should be equipped with ultra-massive antenna arrays comprising 1024 antenna elements or even more, and then the multi-band co-site deployment should be evaluated (as agreed in RAN#108).</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szCs w:val="22"/>
          <w:lang w:eastAsia="ko-KR"/>
        </w:rPr>
      </w:pPr>
      <w:r w:rsidRPr="00E2221F">
        <w:rPr>
          <w:rFonts w:ascii="Times New Roman" w:eastAsia="Malgun Gothic" w:hAnsi="Times New Roman"/>
          <w:szCs w:val="22"/>
          <w:lang w:eastAsia="ko-KR"/>
        </w:rPr>
        <w:t xml:space="preserve">Furthermore, considering that uplink coverage poses greater challenges compared to downlink, decoupling DL and UL in both frequency domain (separate bands for serving DL and UL) and spatial domain (i.e., non-co-located TRP for DL and UL), such as enabling UL-TRPs being non-co-located with the paired DL-TRPs and leveraging 4GHz band for </w:t>
      </w:r>
      <w:r w:rsidRPr="00E2221F">
        <w:rPr>
          <w:rFonts w:ascii="Times New Roman" w:eastAsia="Malgun Gothic" w:hAnsi="Times New Roman"/>
          <w:lang w:eastAsia="ko-KR"/>
        </w:rPr>
        <w:t>UL</w:t>
      </w:r>
      <w:r w:rsidRPr="00E2221F">
        <w:rPr>
          <w:rFonts w:ascii="Times New Roman" w:eastAsia="Malgun Gothic" w:hAnsi="Times New Roman"/>
          <w:szCs w:val="22"/>
          <w:lang w:eastAsia="ko-KR"/>
        </w:rPr>
        <w:t xml:space="preserve"> and U6GHz band for DL.</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lang w:eastAsia="ko-KR"/>
        </w:rPr>
      </w:pPr>
      <w:r>
        <w:rPr>
          <w:rFonts w:eastAsia="Malgun Gothic"/>
          <w:sz w:val="20"/>
          <w:lang w:eastAsia="ko-KR"/>
        </w:rPr>
        <w:t>Heterogeneous network deployment is also a potential solution for urban scenarios. A two-layer network topology comprising 4GHz/U6GHz macro sites combined with 4GHz/U6GHz/30GHz micro sites can serve as a starting point for evaluation. As shown in Figure 2-1-2, the positions of micro sites can be either fixed or random [3]. Under this configuration, the operation mode of TRPs becomes the focus of evaluation, and then the related evaluation procedures can be found in Section 2.2.4.</w:t>
      </w:r>
    </w:p>
    <w:p w:rsidR="0048332A" w:rsidRDefault="008337A7">
      <w:pPr>
        <w:overflowPunct w:val="0"/>
        <w:autoSpaceDE w:val="0"/>
        <w:autoSpaceDN w:val="0"/>
        <w:adjustRightInd w:val="0"/>
        <w:spacing w:beforeLines="50" w:before="120" w:after="120" w:line="300" w:lineRule="auto"/>
        <w:jc w:val="center"/>
        <w:textAlignment w:val="baseline"/>
        <w:rPr>
          <w:rFonts w:eastAsiaTheme="minorEastAsia"/>
          <w:sz w:val="20"/>
        </w:rPr>
      </w:pPr>
      <w:r>
        <w:rPr>
          <w:noProof/>
          <w:sz w:val="20"/>
        </w:rPr>
        <w:drawing>
          <wp:inline distT="0" distB="0" distL="114300" distR="114300">
            <wp:extent cx="2311400" cy="154305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7"/>
                    <a:stretch>
                      <a:fillRect/>
                    </a:stretch>
                  </pic:blipFill>
                  <pic:spPr>
                    <a:xfrm>
                      <a:off x="0" y="0"/>
                      <a:ext cx="2311400" cy="1543050"/>
                    </a:xfrm>
                    <a:prstGeom prst="rect">
                      <a:avLst/>
                    </a:prstGeom>
                    <a:noFill/>
                    <a:ln>
                      <a:noFill/>
                    </a:ln>
                  </pic:spPr>
                </pic:pic>
              </a:graphicData>
            </a:graphic>
          </wp:inline>
        </w:drawing>
      </w:r>
      <w:r>
        <w:rPr>
          <w:rFonts w:eastAsiaTheme="minorEastAsia"/>
          <w:sz w:val="20"/>
        </w:rPr>
        <w:t xml:space="preserve">             </w:t>
      </w:r>
      <w:r>
        <w:rPr>
          <w:noProof/>
          <w:sz w:val="20"/>
        </w:rPr>
        <w:drawing>
          <wp:inline distT="0" distB="0" distL="0" distR="0">
            <wp:extent cx="1400810" cy="1416050"/>
            <wp:effectExtent l="0" t="0" r="889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8"/>
                    <a:stretch>
                      <a:fillRect/>
                    </a:stretch>
                  </pic:blipFill>
                  <pic:spPr>
                    <a:xfrm>
                      <a:off x="0" y="0"/>
                      <a:ext cx="1403902" cy="1419051"/>
                    </a:xfrm>
                    <a:prstGeom prst="rect">
                      <a:avLst/>
                    </a:prstGeom>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rFonts w:eastAsia="Malgun Gothic"/>
          <w:sz w:val="20"/>
          <w:lang w:eastAsia="ko-KR"/>
        </w:rPr>
      </w:pPr>
      <w:r>
        <w:rPr>
          <w:rFonts w:eastAsiaTheme="minorEastAsia"/>
          <w:b/>
          <w:sz w:val="20"/>
        </w:rPr>
        <w:t>Figure 2-1-2</w:t>
      </w:r>
      <w:r>
        <w:rPr>
          <w:rFonts w:eastAsiaTheme="minorEastAsia"/>
          <w:sz w:val="20"/>
        </w:rPr>
        <w:t xml:space="preserve"> Two-layer network with random micro-site locations (left) and fixed locations (right)</w:t>
      </w:r>
    </w:p>
    <w:p w:rsidR="0048332A" w:rsidRDefault="008337A7">
      <w:pPr>
        <w:snapToGrid w:val="0"/>
        <w:spacing w:before="120" w:afterLines="50" w:after="120"/>
        <w:jc w:val="both"/>
        <w:textAlignment w:val="center"/>
        <w:rPr>
          <w:i/>
          <w:sz w:val="20"/>
        </w:rPr>
      </w:pPr>
      <w:r>
        <w:rPr>
          <w:b/>
          <w:i/>
          <w:sz w:val="20"/>
          <w:u w:val="single"/>
        </w:rPr>
        <w:t>Proposal</w:t>
      </w:r>
      <w:r>
        <w:rPr>
          <w:rFonts w:hint="eastAsia"/>
          <w:b/>
          <w:i/>
          <w:sz w:val="20"/>
          <w:u w:val="single"/>
        </w:rPr>
        <w:t xml:space="preserve"> </w:t>
      </w:r>
      <w:r>
        <w:rPr>
          <w:b/>
          <w:i/>
          <w:sz w:val="20"/>
          <w:u w:val="single"/>
        </w:rPr>
        <w:t>2-1-</w:t>
      </w:r>
      <w:r>
        <w:rPr>
          <w:rFonts w:hint="eastAsia"/>
          <w:b/>
          <w:i/>
          <w:sz w:val="20"/>
          <w:u w:val="single"/>
        </w:rPr>
        <w:t>2</w:t>
      </w:r>
      <w:r>
        <w:rPr>
          <w:b/>
          <w:i/>
          <w:sz w:val="20"/>
        </w:rPr>
        <w:t xml:space="preserve">: </w:t>
      </w:r>
      <w:r>
        <w:rPr>
          <w:rFonts w:hint="eastAsia"/>
          <w:bCs/>
          <w:i/>
          <w:sz w:val="20"/>
        </w:rPr>
        <w:t>For dense urban and urban macro, both ultra</w:t>
      </w:r>
      <w:r>
        <w:rPr>
          <w:bCs/>
          <w:i/>
          <w:sz w:val="20"/>
        </w:rPr>
        <w:t>-</w:t>
      </w:r>
      <w:r>
        <w:rPr>
          <w:rFonts w:hint="eastAsia"/>
          <w:bCs/>
          <w:i/>
          <w:sz w:val="20"/>
        </w:rPr>
        <w:t xml:space="preserve">massive antenna arrays and dual-band </w:t>
      </w:r>
      <w:r>
        <w:rPr>
          <w:bCs/>
          <w:i/>
          <w:sz w:val="20"/>
        </w:rPr>
        <w:t xml:space="preserve">co-site deployment </w:t>
      </w:r>
      <w:r>
        <w:rPr>
          <w:rFonts w:hint="eastAsia"/>
          <w:bCs/>
          <w:i/>
          <w:sz w:val="20"/>
        </w:rPr>
        <w:t>should be evaluated</w:t>
      </w:r>
      <w:r>
        <w:rPr>
          <w:bCs/>
          <w:i/>
          <w:sz w:val="20"/>
        </w:rPr>
        <w:t xml:space="preserve"> to </w:t>
      </w:r>
      <w:r>
        <w:rPr>
          <w:rFonts w:hint="eastAsia"/>
          <w:bCs/>
          <w:i/>
          <w:sz w:val="20"/>
        </w:rPr>
        <w:t>ensure</w:t>
      </w:r>
      <w:r>
        <w:rPr>
          <w:bCs/>
          <w:i/>
          <w:sz w:val="20"/>
        </w:rPr>
        <w:t xml:space="preserve"> adequate coverage</w:t>
      </w:r>
      <w:r>
        <w:rPr>
          <w:rFonts w:hint="eastAsia"/>
          <w:bCs/>
          <w:i/>
          <w:sz w:val="20"/>
        </w:rPr>
        <w:t xml:space="preserve">. Additionally, </w:t>
      </w:r>
      <w:r>
        <w:rPr>
          <w:bCs/>
          <w:i/>
          <w:sz w:val="20"/>
        </w:rPr>
        <w:t xml:space="preserve">both </w:t>
      </w:r>
      <w:r>
        <w:rPr>
          <w:rFonts w:hint="eastAsia"/>
          <w:bCs/>
          <w:i/>
          <w:sz w:val="20"/>
        </w:rPr>
        <w:t>single</w:t>
      </w:r>
      <w:r>
        <w:rPr>
          <w:bCs/>
          <w:i/>
          <w:sz w:val="20"/>
        </w:rPr>
        <w:t>-</w:t>
      </w:r>
      <w:r>
        <w:rPr>
          <w:rFonts w:hint="eastAsia"/>
          <w:bCs/>
          <w:i/>
          <w:sz w:val="20"/>
        </w:rPr>
        <w:t>layer and two</w:t>
      </w:r>
      <w:r>
        <w:rPr>
          <w:bCs/>
          <w:i/>
          <w:sz w:val="20"/>
        </w:rPr>
        <w:t>-</w:t>
      </w:r>
      <w:r>
        <w:rPr>
          <w:rFonts w:hint="eastAsia"/>
          <w:bCs/>
          <w:i/>
          <w:sz w:val="20"/>
        </w:rPr>
        <w:t>layer layouts should be assessed</w:t>
      </w:r>
      <w:r>
        <w:rPr>
          <w:bCs/>
          <w:i/>
          <w:sz w:val="20"/>
        </w:rPr>
        <w:t>, in accordance with</w:t>
      </w:r>
      <w:r>
        <w:rPr>
          <w:rFonts w:hint="eastAsia"/>
          <w:bCs/>
          <w:i/>
          <w:sz w:val="20"/>
        </w:rPr>
        <w:t xml:space="preserve"> the assumptions in Table 2</w:t>
      </w:r>
      <w:r>
        <w:rPr>
          <w:bCs/>
          <w:i/>
          <w:sz w:val="20"/>
        </w:rPr>
        <w:t>-1-2</w:t>
      </w:r>
      <w:r>
        <w:rPr>
          <w:rFonts w:hint="eastAsia"/>
          <w:bCs/>
          <w:i/>
          <w:sz w:val="20"/>
        </w:rPr>
        <w:t>.</w:t>
      </w:r>
    </w:p>
    <w:p w:rsidR="0048332A" w:rsidRDefault="008337A7">
      <w:pPr>
        <w:overflowPunct w:val="0"/>
        <w:autoSpaceDE w:val="0"/>
        <w:autoSpaceDN w:val="0"/>
        <w:adjustRightInd w:val="0"/>
        <w:spacing w:beforeLines="50" w:before="120" w:after="120" w:line="300" w:lineRule="auto"/>
        <w:jc w:val="center"/>
        <w:textAlignment w:val="baseline"/>
        <w:rPr>
          <w:rFonts w:eastAsia="Malgun Gothic"/>
          <w:sz w:val="20"/>
          <w:szCs w:val="20"/>
          <w:lang w:eastAsia="ko-KR"/>
        </w:rPr>
      </w:pPr>
      <w:r>
        <w:rPr>
          <w:rFonts w:eastAsia="Malgun Gothic" w:hint="eastAsia"/>
          <w:b/>
          <w:sz w:val="20"/>
          <w:szCs w:val="20"/>
          <w:lang w:eastAsia="ko-KR"/>
        </w:rPr>
        <w:t xml:space="preserve">Table </w:t>
      </w:r>
      <w:r>
        <w:rPr>
          <w:rFonts w:eastAsia="Malgun Gothic"/>
          <w:b/>
          <w:sz w:val="20"/>
          <w:szCs w:val="20"/>
          <w:lang w:eastAsia="ko-KR"/>
        </w:rPr>
        <w:t>2-1-2</w:t>
      </w:r>
      <w:r>
        <w:rPr>
          <w:rFonts w:eastAsia="Malgun Gothic" w:hint="eastAsia"/>
          <w:sz w:val="20"/>
          <w:szCs w:val="20"/>
          <w:lang w:eastAsia="ko-KR"/>
        </w:rPr>
        <w:t xml:space="preserve"> Evaluation assumptions for </w:t>
      </w:r>
      <w:r>
        <w:rPr>
          <w:rFonts w:eastAsia="Malgun Gothic"/>
          <w:sz w:val="20"/>
          <w:szCs w:val="20"/>
          <w:lang w:eastAsia="ko-KR"/>
        </w:rPr>
        <w:t>dense urban and urban macro scenarios</w:t>
      </w:r>
    </w:p>
    <w:tbl>
      <w:tblPr>
        <w:tblStyle w:val="TableGrid"/>
        <w:tblW w:w="9918" w:type="dxa"/>
        <w:tblLook w:val="04A0" w:firstRow="1" w:lastRow="0" w:firstColumn="1" w:lastColumn="0" w:noHBand="0" w:noVBand="1"/>
      </w:tblPr>
      <w:tblGrid>
        <w:gridCol w:w="1205"/>
        <w:gridCol w:w="8713"/>
      </w:tblGrid>
      <w:tr w:rsidR="0048332A">
        <w:trPr>
          <w:trHeight w:val="365"/>
        </w:trPr>
        <w:tc>
          <w:tcPr>
            <w:tcW w:w="1129" w:type="dxa"/>
          </w:tcPr>
          <w:p w:rsidR="0048332A" w:rsidRDefault="008337A7">
            <w:pPr>
              <w:overflowPunct w:val="0"/>
              <w:autoSpaceDE w:val="0"/>
              <w:autoSpaceDN w:val="0"/>
              <w:adjustRightInd w:val="0"/>
              <w:spacing w:after="100" w:afterAutospacing="1" w:line="320" w:lineRule="exact"/>
              <w:textAlignment w:val="baseline"/>
              <w:rPr>
                <w:rFonts w:eastAsia="微软雅黑"/>
                <w:b/>
                <w:sz w:val="20"/>
                <w:szCs w:val="20"/>
              </w:rPr>
            </w:pPr>
            <w:r>
              <w:rPr>
                <w:rFonts w:eastAsia="微软雅黑" w:hint="eastAsia"/>
                <w:b/>
                <w:sz w:val="20"/>
                <w:szCs w:val="20"/>
              </w:rPr>
              <w:t>Parameter</w:t>
            </w:r>
            <w:r>
              <w:rPr>
                <w:rFonts w:eastAsia="微软雅黑"/>
                <w:b/>
                <w:sz w:val="20"/>
                <w:szCs w:val="20"/>
              </w:rPr>
              <w:t>s</w:t>
            </w:r>
          </w:p>
        </w:tc>
        <w:tc>
          <w:tcPr>
            <w:tcW w:w="8789" w:type="dxa"/>
          </w:tcPr>
          <w:p w:rsidR="0048332A" w:rsidRDefault="008337A7">
            <w:pPr>
              <w:overflowPunct w:val="0"/>
              <w:autoSpaceDE w:val="0"/>
              <w:autoSpaceDN w:val="0"/>
              <w:adjustRightInd w:val="0"/>
              <w:spacing w:after="100" w:afterAutospacing="1" w:line="320" w:lineRule="exact"/>
              <w:jc w:val="both"/>
              <w:textAlignment w:val="baseline"/>
              <w:rPr>
                <w:rFonts w:eastAsia="微软雅黑"/>
                <w:b/>
                <w:sz w:val="20"/>
                <w:szCs w:val="20"/>
              </w:rPr>
            </w:pPr>
            <w:r>
              <w:rPr>
                <w:rFonts w:eastAsia="微软雅黑" w:hint="eastAsia"/>
                <w:b/>
                <w:sz w:val="20"/>
                <w:szCs w:val="20"/>
              </w:rPr>
              <w:t>V</w:t>
            </w:r>
            <w:r>
              <w:rPr>
                <w:rFonts w:eastAsia="微软雅黑"/>
                <w:b/>
                <w:sz w:val="20"/>
                <w:szCs w:val="20"/>
              </w:rPr>
              <w:t>alues or assumptions</w:t>
            </w:r>
          </w:p>
        </w:tc>
      </w:tr>
      <w:tr w:rsidR="0048332A">
        <w:trPr>
          <w:trHeight w:val="746"/>
        </w:trPr>
        <w:tc>
          <w:tcPr>
            <w:tcW w:w="1129" w:type="dxa"/>
          </w:tcPr>
          <w:p w:rsidR="0048332A" w:rsidRDefault="008337A7">
            <w:pPr>
              <w:overflowPunct w:val="0"/>
              <w:autoSpaceDE w:val="0"/>
              <w:autoSpaceDN w:val="0"/>
              <w:adjustRightInd w:val="0"/>
              <w:snapToGrid w:val="0"/>
              <w:textAlignment w:val="baseline"/>
              <w:rPr>
                <w:rFonts w:eastAsia="微软雅黑"/>
                <w:sz w:val="20"/>
                <w:szCs w:val="20"/>
              </w:rPr>
            </w:pPr>
            <w:r>
              <w:rPr>
                <w:rFonts w:eastAsia="微软雅黑"/>
                <w:sz w:val="20"/>
                <w:szCs w:val="20"/>
              </w:rPr>
              <w:t>L</w:t>
            </w:r>
            <w:r>
              <w:rPr>
                <w:rFonts w:eastAsia="微软雅黑" w:hint="eastAsia"/>
                <w:sz w:val="20"/>
                <w:szCs w:val="20"/>
              </w:rPr>
              <w:t>ay</w:t>
            </w:r>
            <w:r>
              <w:rPr>
                <w:rFonts w:eastAsia="微软雅黑"/>
                <w:sz w:val="20"/>
                <w:szCs w:val="20"/>
              </w:rPr>
              <w:t>out</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Alt. 1: Single layer with ISD = 200m (dense urban) or 500m (urban macro)</w:t>
            </w:r>
          </w:p>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 xml:space="preserve">Alt. 2: Two layers: </w:t>
            </w:r>
            <w:r>
              <w:rPr>
                <w:rFonts w:eastAsia="微软雅黑" w:hint="eastAsia"/>
                <w:sz w:val="20"/>
                <w:szCs w:val="20"/>
              </w:rPr>
              <w:t>Macro layer</w:t>
            </w:r>
            <w:r>
              <w:rPr>
                <w:rFonts w:eastAsia="微软雅黑"/>
                <w:sz w:val="20"/>
                <w:szCs w:val="20"/>
              </w:rPr>
              <w:t xml:space="preserve"> </w:t>
            </w:r>
            <w:r>
              <w:rPr>
                <w:rFonts w:eastAsia="微软雅黑" w:hint="eastAsia"/>
                <w:sz w:val="20"/>
                <w:szCs w:val="20"/>
              </w:rPr>
              <w:t xml:space="preserve">with </w:t>
            </w:r>
            <w:r>
              <w:rPr>
                <w:rFonts w:eastAsia="微软雅黑"/>
                <w:sz w:val="20"/>
                <w:szCs w:val="20"/>
              </w:rPr>
              <w:t xml:space="preserve">ISD = </w:t>
            </w:r>
            <w:r>
              <w:rPr>
                <w:rFonts w:eastAsia="微软雅黑" w:hint="eastAsia"/>
                <w:sz w:val="20"/>
                <w:szCs w:val="20"/>
              </w:rPr>
              <w:t>2</w:t>
            </w:r>
            <w:r>
              <w:rPr>
                <w:rFonts w:eastAsia="微软雅黑"/>
                <w:sz w:val="20"/>
                <w:szCs w:val="20"/>
              </w:rPr>
              <w:t>00m (dense urban) or 500m (urban macro)</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Micro layer: Fixed or random locations</w:t>
            </w:r>
          </w:p>
        </w:tc>
      </w:tr>
      <w:tr w:rsidR="0048332A">
        <w:trPr>
          <w:trHeight w:val="539"/>
        </w:trPr>
        <w:tc>
          <w:tcPr>
            <w:tcW w:w="1129" w:type="dxa"/>
          </w:tcPr>
          <w:p w:rsidR="0048332A" w:rsidRDefault="008337A7">
            <w:pPr>
              <w:overflowPunct w:val="0"/>
              <w:autoSpaceDE w:val="0"/>
              <w:autoSpaceDN w:val="0"/>
              <w:adjustRightInd w:val="0"/>
              <w:snapToGrid w:val="0"/>
              <w:textAlignment w:val="baseline"/>
              <w:rPr>
                <w:rFonts w:eastAsia="微软雅黑"/>
                <w:sz w:val="20"/>
                <w:szCs w:val="20"/>
              </w:rPr>
            </w:pPr>
            <w:r>
              <w:rPr>
                <w:rFonts w:eastAsia="微软雅黑" w:hint="eastAsia"/>
                <w:sz w:val="20"/>
                <w:szCs w:val="20"/>
              </w:rPr>
              <w:t>Carrier</w:t>
            </w:r>
            <w:r>
              <w:rPr>
                <w:rFonts w:eastAsia="微软雅黑"/>
                <w:sz w:val="20"/>
                <w:szCs w:val="20"/>
              </w:rPr>
              <w:t xml:space="preserve"> frequency</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Single layer: 4</w:t>
            </w:r>
            <w:r>
              <w:rPr>
                <w:rFonts w:eastAsia="微软雅黑"/>
                <w:sz w:val="20"/>
                <w:szCs w:val="20"/>
              </w:rPr>
              <w:t xml:space="preserve">GHz, 7GHz, 4GHz+7GHz </w:t>
            </w:r>
            <w:r>
              <w:rPr>
                <w:rFonts w:eastAsia="微软雅黑" w:hint="eastAsia"/>
                <w:sz w:val="20"/>
                <w:szCs w:val="20"/>
              </w:rPr>
              <w:t>(</w:t>
            </w:r>
            <w:r>
              <w:rPr>
                <w:rFonts w:eastAsia="微软雅黑"/>
                <w:sz w:val="20"/>
                <w:szCs w:val="20"/>
              </w:rPr>
              <w:t>co-site deployment</w:t>
            </w:r>
            <w:r>
              <w:rPr>
                <w:rFonts w:eastAsia="微软雅黑" w:hint="eastAsia"/>
                <w:sz w:val="20"/>
                <w:szCs w:val="20"/>
              </w:rPr>
              <w:t>)</w:t>
            </w:r>
          </w:p>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 xml:space="preserve">Two layers: </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Macro layer: 4GHz/7GHz + Micro-layer 4GHz/7GHz</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Macro layer: 4GHz/7GHz + Micro-layer 30GHz</w:t>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B</w:t>
            </w:r>
            <w:r>
              <w:rPr>
                <w:rFonts w:eastAsia="微软雅黑"/>
                <w:sz w:val="20"/>
                <w:szCs w:val="20"/>
              </w:rPr>
              <w:t>S antenna model</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Macro:</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4GHz: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(24, 8, 2, 1, 1; 8, 8),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0.8)λ</w:t>
            </w:r>
            <w:proofErr w:type="gramEnd"/>
          </w:p>
          <w:p w:rsidR="0048332A" w:rsidRPr="00E2221F" w:rsidRDefault="008337A7">
            <w:pPr>
              <w:pStyle w:val="ListParagraph"/>
              <w:numPr>
                <w:ilvl w:val="0"/>
                <w:numId w:val="10"/>
              </w:numPr>
              <w:ind w:leftChars="0" w:left="227" w:hanging="227"/>
              <w:rPr>
                <w:rFonts w:ascii="Times New Roman" w:hAnsi="Times New Roman"/>
              </w:rPr>
            </w:pPr>
            <w:r w:rsidRPr="00E2221F">
              <w:rPr>
                <w:rFonts w:ascii="Times New Roman" w:eastAsia="微软雅黑" w:hAnsi="Times New Roman"/>
                <w:szCs w:val="20"/>
              </w:rPr>
              <w:t>7GHz: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(48, 16, 2, 1, 1; 8, 16), or (64, 16, 2, 1, 1; 16, 16),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0.8)λ.</w:t>
            </w:r>
            <w:proofErr w:type="gramEnd"/>
          </w:p>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Micro:</w:t>
            </w:r>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lastRenderedPageBreak/>
              <w:t>4GHz: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(12, 4, 2, 1, 1; 4, 4),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0.8)λ</w:t>
            </w:r>
            <w:proofErr w:type="gramEnd"/>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7GHz: (M,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(32,</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16,</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2,</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1,</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1;</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4,</w:t>
            </w:r>
            <w:r w:rsidRPr="00E2221F">
              <w:rPr>
                <w:rFonts w:ascii="Times New Roman" w:eastAsia="微软雅黑" w:hAnsi="Times New Roman"/>
                <w:szCs w:val="20"/>
                <w:lang w:val="en-US"/>
              </w:rPr>
              <w:t xml:space="preserve"> </w:t>
            </w:r>
            <w:r w:rsidRPr="00E2221F">
              <w:rPr>
                <w:rFonts w:ascii="Times New Roman" w:eastAsia="微软雅黑" w:hAnsi="Times New Roman"/>
                <w:szCs w:val="20"/>
              </w:rPr>
              <w:t>16),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0.8)λ</w:t>
            </w:r>
            <w:proofErr w:type="gramEnd"/>
          </w:p>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 xml:space="preserve">30GHz: (M, N, P, Mg, Ng, </w:t>
            </w:r>
            <w:proofErr w:type="spellStart"/>
            <w:r w:rsidRPr="00E2221F">
              <w:rPr>
                <w:rFonts w:ascii="Times New Roman" w:eastAsia="微软雅黑" w:hAnsi="Times New Roman"/>
                <w:szCs w:val="20"/>
              </w:rPr>
              <w:t>Mp</w:t>
            </w:r>
            <w:proofErr w:type="spellEnd"/>
            <w:r w:rsidRPr="00E2221F">
              <w:rPr>
                <w:rFonts w:ascii="Times New Roman" w:eastAsia="微软雅黑" w:hAnsi="Times New Roman"/>
                <w:szCs w:val="20"/>
              </w:rPr>
              <w:t xml:space="preserve">, Np) = (8, 16, 2, 2, 2; 1, 1), </w:t>
            </w:r>
            <w:r w:rsidR="00B2496C" w:rsidRPr="006B5476">
              <w:rPr>
                <w:rFonts w:ascii="Times New Roman" w:eastAsia="微软雅黑" w:hAnsi="Times New Roman"/>
                <w:szCs w:val="20"/>
              </w:rPr>
              <w:t>(</w:t>
            </w:r>
            <w:proofErr w:type="spellStart"/>
            <w:r w:rsidR="00B2496C" w:rsidRPr="006B5476">
              <w:rPr>
                <w:rFonts w:ascii="Times New Roman" w:eastAsia="微软雅黑" w:hAnsi="Times New Roman"/>
                <w:szCs w:val="20"/>
              </w:rPr>
              <w:t>d</w:t>
            </w:r>
            <w:r w:rsidR="00B2496C" w:rsidRPr="006B5476">
              <w:rPr>
                <w:rFonts w:ascii="Times New Roman" w:eastAsia="微软雅黑" w:hAnsi="Times New Roman"/>
                <w:szCs w:val="20"/>
                <w:vertAlign w:val="subscript"/>
              </w:rPr>
              <w:t>H</w:t>
            </w:r>
            <w:proofErr w:type="spellEnd"/>
            <w:r w:rsidR="00B2496C" w:rsidRPr="006B5476">
              <w:rPr>
                <w:rFonts w:ascii="Times New Roman" w:eastAsia="微软雅黑" w:hAnsi="Times New Roman"/>
                <w:szCs w:val="20"/>
              </w:rPr>
              <w:t xml:space="preserve">, </w:t>
            </w:r>
            <w:proofErr w:type="spellStart"/>
            <w:r w:rsidR="00B2496C" w:rsidRPr="006B5476">
              <w:rPr>
                <w:rFonts w:ascii="Times New Roman" w:eastAsia="微软雅黑" w:hAnsi="Times New Roman"/>
                <w:szCs w:val="20"/>
              </w:rPr>
              <w:t>d</w:t>
            </w:r>
            <w:r w:rsidR="00B2496C" w:rsidRPr="006B5476">
              <w:rPr>
                <w:rFonts w:ascii="Times New Roman" w:eastAsia="微软雅黑" w:hAnsi="Times New Roman"/>
                <w:szCs w:val="20"/>
                <w:vertAlign w:val="subscript"/>
              </w:rPr>
              <w:t>V</w:t>
            </w:r>
            <w:proofErr w:type="spellEnd"/>
            <w:r w:rsidR="00B2496C" w:rsidRPr="006B5476">
              <w:rPr>
                <w:rFonts w:ascii="Times New Roman" w:eastAsia="微软雅黑" w:hAnsi="Times New Roman"/>
                <w:szCs w:val="20"/>
              </w:rPr>
              <w:t xml:space="preserve">) = (0.5, </w:t>
            </w:r>
            <w:proofErr w:type="gramStart"/>
            <w:r w:rsidR="00B2496C" w:rsidRPr="006B5476">
              <w:rPr>
                <w:rFonts w:ascii="Times New Roman" w:eastAsia="微软雅黑" w:hAnsi="Times New Roman"/>
                <w:szCs w:val="20"/>
              </w:rPr>
              <w:t>0.5)λ</w:t>
            </w:r>
            <w:proofErr w:type="gramEnd"/>
            <w:r w:rsidR="00B2496C">
              <w:rPr>
                <w:rFonts w:ascii="Times New Roman" w:eastAsia="微软雅黑" w:hAnsi="Times New Roman"/>
                <w:szCs w:val="20"/>
                <w:lang w:val="en-US"/>
              </w:rPr>
              <w:t xml:space="preserve">, </w:t>
            </w:r>
            <w:r w:rsidRPr="00E2221F">
              <w:rPr>
                <w:rFonts w:ascii="Times New Roman" w:eastAsia="微软雅黑" w:hAnsi="Times New Roman"/>
                <w:szCs w:val="20"/>
              </w:rPr>
              <w:t>(</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H,g</w:t>
            </w:r>
            <w:r w:rsidRPr="00E2221F">
              <w:rPr>
                <w:rFonts w:ascii="Times New Roman" w:eastAsia="微软雅黑" w:hAnsi="Times New Roman"/>
                <w:szCs w:val="20"/>
              </w:rPr>
              <w:t>,d</w:t>
            </w:r>
            <w:r w:rsidRPr="00E2221F">
              <w:rPr>
                <w:rFonts w:ascii="Times New Roman" w:eastAsia="微软雅黑" w:hAnsi="Times New Roman"/>
                <w:szCs w:val="20"/>
                <w:vertAlign w:val="subscript"/>
              </w:rPr>
              <w:t>V,g</w:t>
            </w:r>
            <w:proofErr w:type="spellEnd"/>
            <w:r w:rsidRPr="00E2221F">
              <w:rPr>
                <w:rFonts w:ascii="Times New Roman" w:eastAsia="微软雅黑" w:hAnsi="Times New Roman"/>
                <w:szCs w:val="20"/>
              </w:rPr>
              <w:t>) = (8.0, 4.0)λ</w:t>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lastRenderedPageBreak/>
              <w:t>U</w:t>
            </w:r>
            <w:r>
              <w:rPr>
                <w:rFonts w:eastAsia="微软雅黑"/>
                <w:sz w:val="20"/>
                <w:szCs w:val="20"/>
              </w:rPr>
              <w:t>E antenna model</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See Table 2-1-1</w:t>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B</w:t>
            </w:r>
            <w:r>
              <w:rPr>
                <w:rFonts w:eastAsia="微软雅黑"/>
                <w:sz w:val="20"/>
                <w:szCs w:val="20"/>
              </w:rPr>
              <w:t>S height</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25m for macro cells, 10m for micro cells</w:t>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U</w:t>
            </w:r>
            <w:r>
              <w:rPr>
                <w:rFonts w:eastAsia="微软雅黑"/>
                <w:sz w:val="20"/>
                <w:szCs w:val="20"/>
              </w:rPr>
              <w:t>E height</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hint="eastAsia"/>
                <w:sz w:val="20"/>
                <w:szCs w:val="20"/>
              </w:rPr>
              <w:t>1.5m</w:t>
            </w:r>
            <w:r>
              <w:rPr>
                <w:rFonts w:eastAsia="微软雅黑"/>
                <w:sz w:val="20"/>
                <w:szCs w:val="20"/>
              </w:rPr>
              <w:t xml:space="preserve"> on different floors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sz w:val="20"/>
                <w:szCs w:val="20"/>
              </w:rPr>
              <w:t>Traffic model</w:t>
            </w:r>
          </w:p>
        </w:tc>
        <w:tc>
          <w:tcPr>
            <w:tcW w:w="8789" w:type="dxa"/>
          </w:tcPr>
          <w:p w:rsidR="0048332A" w:rsidRDefault="008337A7">
            <w:pPr>
              <w:overflowPunct w:val="0"/>
              <w:autoSpaceDE w:val="0"/>
              <w:autoSpaceDN w:val="0"/>
              <w:adjustRightInd w:val="0"/>
              <w:snapToGrid w:val="0"/>
              <w:jc w:val="both"/>
              <w:textAlignment w:val="baseline"/>
              <w:rPr>
                <w:sz w:val="20"/>
                <w:szCs w:val="20"/>
              </w:rPr>
            </w:pPr>
            <w:r>
              <w:rPr>
                <w:sz w:val="20"/>
                <w:szCs w:val="20"/>
              </w:rPr>
              <w:t>Full buffer and FTP model 1/2/3 with packet size 0.02, 0.1 and 0.5Mbytes (other value is not precluded).</w:t>
            </w:r>
          </w:p>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Other traffic models are not precluded.</w:t>
            </w:r>
          </w:p>
        </w:tc>
      </w:tr>
      <w:tr w:rsidR="0048332A">
        <w:tc>
          <w:tcPr>
            <w:tcW w:w="112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Additional channel modeling features</w:t>
            </w:r>
          </w:p>
        </w:tc>
        <w:tc>
          <w:tcPr>
            <w:tcW w:w="8789" w:type="dxa"/>
          </w:tcPr>
          <w:p w:rsidR="0048332A" w:rsidRDefault="008337A7">
            <w:pPr>
              <w:overflowPunct w:val="0"/>
              <w:autoSpaceDE w:val="0"/>
              <w:autoSpaceDN w:val="0"/>
              <w:adjustRightInd w:val="0"/>
              <w:snapToGrid w:val="0"/>
              <w:jc w:val="both"/>
              <w:textAlignment w:val="baseline"/>
              <w:rPr>
                <w:rFonts w:eastAsia="微软雅黑"/>
                <w:sz w:val="20"/>
                <w:szCs w:val="20"/>
              </w:rPr>
            </w:pPr>
            <w:r>
              <w:rPr>
                <w:rFonts w:eastAsia="微软雅黑"/>
                <w:sz w:val="20"/>
                <w:szCs w:val="20"/>
              </w:rPr>
              <w:t xml:space="preserve">Near-field and SNS channel model in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p>
        </w:tc>
      </w:tr>
    </w:tbl>
    <w:p w:rsidR="0048332A" w:rsidRDefault="008337A7">
      <w:pPr>
        <w:numPr>
          <w:ilvl w:val="2"/>
          <w:numId w:val="1"/>
        </w:numPr>
        <w:snapToGrid w:val="0"/>
        <w:spacing w:before="240" w:afterLines="50" w:after="120"/>
        <w:jc w:val="both"/>
        <w:outlineLvl w:val="2"/>
        <w:rPr>
          <w:b/>
          <w:szCs w:val="28"/>
        </w:rPr>
      </w:pPr>
      <w:r>
        <w:rPr>
          <w:b/>
          <w:szCs w:val="28"/>
        </w:rPr>
        <w:t>Sub-urban macro and rural</w:t>
      </w:r>
    </w:p>
    <w:p w:rsidR="0048332A" w:rsidRDefault="008337A7">
      <w:pPr>
        <w:overflowPunct w:val="0"/>
        <w:autoSpaceDE w:val="0"/>
        <w:autoSpaceDN w:val="0"/>
        <w:adjustRightInd w:val="0"/>
        <w:spacing w:beforeLines="50" w:before="120" w:afterLines="50" w:after="120"/>
        <w:jc w:val="both"/>
        <w:textAlignment w:val="baseline"/>
        <w:rPr>
          <w:color w:val="000000"/>
          <w:sz w:val="20"/>
          <w:szCs w:val="20"/>
        </w:rPr>
      </w:pPr>
      <w:r>
        <w:rPr>
          <w:color w:val="000000"/>
          <w:sz w:val="20"/>
          <w:szCs w:val="20"/>
        </w:rPr>
        <w:t xml:space="preserve">Unlike urban scenarios, the sub-urban macro and rural prioritize large cell deployment and continuous coverage. Given the lower user density compared to urban environments, a </w:t>
      </w:r>
      <w:r>
        <w:rPr>
          <w:rFonts w:eastAsia="Malgun Gothic"/>
          <w:sz w:val="20"/>
          <w:lang w:eastAsia="ko-KR"/>
        </w:rPr>
        <w:t>single</w:t>
      </w:r>
      <w:r>
        <w:rPr>
          <w:color w:val="000000"/>
          <w:sz w:val="20"/>
          <w:szCs w:val="20"/>
        </w:rPr>
        <w:t>-layer network layout would be adequate. Due to the larger ISD, the corresponding evaluation on FR2 bands such as 30GHz should be deprioritized in such case.</w:t>
      </w:r>
    </w:p>
    <w:p w:rsidR="0048332A" w:rsidRDefault="008337A7">
      <w:pPr>
        <w:overflowPunct w:val="0"/>
        <w:autoSpaceDE w:val="0"/>
        <w:autoSpaceDN w:val="0"/>
        <w:adjustRightInd w:val="0"/>
        <w:spacing w:beforeLines="50" w:before="120" w:afterLines="50" w:after="120"/>
        <w:jc w:val="both"/>
        <w:textAlignment w:val="baseline"/>
        <w:rPr>
          <w:color w:val="000000"/>
          <w:sz w:val="20"/>
          <w:szCs w:val="20"/>
        </w:rPr>
      </w:pPr>
      <w:r>
        <w:rPr>
          <w:color w:val="000000"/>
          <w:sz w:val="20"/>
          <w:szCs w:val="20"/>
        </w:rPr>
        <w:t xml:space="preserve">To meet these coverage requirements, ultra-massive antenna arrays and </w:t>
      </w:r>
      <w:r>
        <w:rPr>
          <w:rFonts w:eastAsia="Malgun Gothic"/>
          <w:sz w:val="20"/>
          <w:szCs w:val="20"/>
          <w:lang w:eastAsia="ko-KR"/>
        </w:rPr>
        <w:t>multi</w:t>
      </w:r>
      <w:r>
        <w:rPr>
          <w:rFonts w:eastAsia="Malgun Gothic" w:hint="eastAsia"/>
          <w:sz w:val="20"/>
          <w:szCs w:val="20"/>
          <w:lang w:eastAsia="ko-KR"/>
        </w:rPr>
        <w:t xml:space="preserve">-band </w:t>
      </w:r>
      <w:r>
        <w:rPr>
          <w:rFonts w:eastAsia="Malgun Gothic"/>
          <w:sz w:val="20"/>
          <w:szCs w:val="20"/>
          <w:lang w:eastAsia="ko-KR"/>
        </w:rPr>
        <w:t xml:space="preserve">co-site deployment </w:t>
      </w:r>
      <w:r>
        <w:rPr>
          <w:color w:val="000000"/>
          <w:sz w:val="20"/>
          <w:szCs w:val="20"/>
        </w:rPr>
        <w:t xml:space="preserve">(involving DL/UL-decoupling) should also be evaluated in these scenarios. Additionally, FWA/CPE can be considered as an important UE device type in such case, and then, </w:t>
      </w:r>
      <w:r>
        <w:rPr>
          <w:rFonts w:eastAsia="Malgun Gothic"/>
          <w:sz w:val="20"/>
          <w:lang w:eastAsia="ko-KR"/>
        </w:rPr>
        <w:t>for</w:t>
      </w:r>
      <w:r>
        <w:rPr>
          <w:color w:val="000000"/>
          <w:sz w:val="20"/>
          <w:szCs w:val="20"/>
        </w:rPr>
        <w:t xml:space="preserve"> boosting uplink transmission performance, the technologies such as high-precision uplink codebooks and frequency-selective precoding, can be considered as critical evaluation methodologies.</w:t>
      </w:r>
    </w:p>
    <w:p w:rsidR="0048332A" w:rsidRDefault="008337A7">
      <w:pPr>
        <w:snapToGrid w:val="0"/>
        <w:spacing w:before="120" w:afterLines="50" w:after="120"/>
        <w:jc w:val="both"/>
        <w:textAlignment w:val="center"/>
        <w:rPr>
          <w:color w:val="000000"/>
          <w:sz w:val="20"/>
          <w:szCs w:val="20"/>
        </w:rPr>
      </w:pPr>
      <w:r>
        <w:rPr>
          <w:b/>
          <w:i/>
          <w:sz w:val="20"/>
          <w:szCs w:val="20"/>
          <w:u w:val="single"/>
        </w:rPr>
        <w:t>Proposal</w:t>
      </w:r>
      <w:r>
        <w:rPr>
          <w:rFonts w:hint="eastAsia"/>
          <w:b/>
          <w:i/>
          <w:sz w:val="20"/>
          <w:szCs w:val="20"/>
          <w:u w:val="single"/>
        </w:rPr>
        <w:t xml:space="preserve"> </w:t>
      </w:r>
      <w:r>
        <w:rPr>
          <w:b/>
          <w:i/>
          <w:sz w:val="20"/>
          <w:szCs w:val="20"/>
          <w:u w:val="single"/>
        </w:rPr>
        <w:t>2-1-</w:t>
      </w:r>
      <w:r>
        <w:rPr>
          <w:rFonts w:hint="eastAsia"/>
          <w:b/>
          <w:i/>
          <w:sz w:val="20"/>
          <w:szCs w:val="20"/>
          <w:u w:val="single"/>
        </w:rPr>
        <w:t>3</w:t>
      </w:r>
      <w:r>
        <w:rPr>
          <w:b/>
          <w:i/>
          <w:sz w:val="20"/>
          <w:szCs w:val="20"/>
        </w:rPr>
        <w:t xml:space="preserve">: </w:t>
      </w:r>
      <w:r>
        <w:rPr>
          <w:rFonts w:hint="eastAsia"/>
          <w:bCs/>
          <w:i/>
          <w:sz w:val="20"/>
          <w:szCs w:val="20"/>
        </w:rPr>
        <w:t>For sub-urban macro and rural scenarios, ultra</w:t>
      </w:r>
      <w:r>
        <w:rPr>
          <w:bCs/>
          <w:i/>
          <w:sz w:val="20"/>
          <w:szCs w:val="20"/>
        </w:rPr>
        <w:t>-</w:t>
      </w:r>
      <w:r>
        <w:rPr>
          <w:rFonts w:hint="eastAsia"/>
          <w:bCs/>
          <w:i/>
          <w:sz w:val="20"/>
          <w:szCs w:val="20"/>
        </w:rPr>
        <w:t xml:space="preserve">massive antenna arrays and </w:t>
      </w:r>
      <w:r>
        <w:rPr>
          <w:bCs/>
          <w:i/>
          <w:sz w:val="20"/>
          <w:szCs w:val="20"/>
        </w:rPr>
        <w:t>multi</w:t>
      </w:r>
      <w:r>
        <w:rPr>
          <w:rFonts w:hint="eastAsia"/>
          <w:bCs/>
          <w:i/>
          <w:sz w:val="20"/>
          <w:szCs w:val="20"/>
        </w:rPr>
        <w:t xml:space="preserve">-band </w:t>
      </w:r>
      <w:r>
        <w:rPr>
          <w:rFonts w:eastAsia="Malgun Gothic"/>
          <w:i/>
          <w:sz w:val="20"/>
          <w:szCs w:val="20"/>
          <w:lang w:eastAsia="ko-KR"/>
        </w:rPr>
        <w:t>co-site deployment</w:t>
      </w:r>
      <w:r>
        <w:rPr>
          <w:rFonts w:hint="eastAsia"/>
          <w:i/>
          <w:sz w:val="20"/>
          <w:szCs w:val="20"/>
        </w:rPr>
        <w:t xml:space="preserve"> </w:t>
      </w:r>
      <w:r>
        <w:rPr>
          <w:rFonts w:eastAsia="Malgun Gothic"/>
          <w:i/>
          <w:sz w:val="20"/>
          <w:szCs w:val="20"/>
          <w:lang w:eastAsia="ko-KR"/>
        </w:rPr>
        <w:t xml:space="preserve">(involving DL/UL-decoupling) </w:t>
      </w:r>
      <w:r>
        <w:rPr>
          <w:rFonts w:hint="eastAsia"/>
          <w:bCs/>
          <w:i/>
          <w:sz w:val="20"/>
          <w:szCs w:val="20"/>
        </w:rPr>
        <w:t>should be evaluated</w:t>
      </w:r>
      <w:r>
        <w:rPr>
          <w:bCs/>
          <w:i/>
          <w:sz w:val="20"/>
          <w:szCs w:val="20"/>
        </w:rPr>
        <w:t xml:space="preserve"> to ensure adequate coverage</w:t>
      </w:r>
      <w:r>
        <w:rPr>
          <w:rFonts w:hint="eastAsia"/>
          <w:bCs/>
          <w:i/>
          <w:sz w:val="20"/>
          <w:szCs w:val="20"/>
        </w:rPr>
        <w:t>. Additionally, FWA/CPE</w:t>
      </w:r>
      <w:r>
        <w:rPr>
          <w:bCs/>
          <w:i/>
          <w:sz w:val="20"/>
          <w:szCs w:val="20"/>
        </w:rPr>
        <w:t xml:space="preserve"> solutions</w:t>
      </w:r>
      <w:r>
        <w:rPr>
          <w:rFonts w:hint="eastAsia"/>
          <w:bCs/>
          <w:i/>
          <w:sz w:val="20"/>
          <w:szCs w:val="20"/>
        </w:rPr>
        <w:t xml:space="preserve"> should be assessed</w:t>
      </w:r>
      <w:r>
        <w:rPr>
          <w:bCs/>
          <w:i/>
          <w:sz w:val="20"/>
          <w:szCs w:val="20"/>
        </w:rPr>
        <w:t xml:space="preserve"> as a critical UE device type</w:t>
      </w:r>
      <w:r>
        <w:rPr>
          <w:rFonts w:hint="eastAsia"/>
          <w:bCs/>
          <w:i/>
          <w:sz w:val="20"/>
          <w:szCs w:val="20"/>
        </w:rPr>
        <w:t>, in accordance with the assumptions in Table</w:t>
      </w:r>
      <w:r>
        <w:rPr>
          <w:bCs/>
          <w:i/>
          <w:sz w:val="20"/>
          <w:szCs w:val="20"/>
        </w:rPr>
        <w:t xml:space="preserve"> 2-1-3</w:t>
      </w:r>
      <w:r>
        <w:rPr>
          <w:rFonts w:hint="eastAsia"/>
          <w:bCs/>
          <w:i/>
          <w:sz w:val="20"/>
          <w:szCs w:val="20"/>
        </w:rPr>
        <w:t>.</w:t>
      </w:r>
    </w:p>
    <w:p w:rsidR="0048332A" w:rsidRDefault="008337A7">
      <w:pPr>
        <w:overflowPunct w:val="0"/>
        <w:autoSpaceDE w:val="0"/>
        <w:autoSpaceDN w:val="0"/>
        <w:adjustRightInd w:val="0"/>
        <w:jc w:val="center"/>
        <w:textAlignment w:val="baseline"/>
        <w:rPr>
          <w:rFonts w:eastAsia="Malgun Gothic"/>
          <w:sz w:val="20"/>
          <w:szCs w:val="20"/>
          <w:lang w:eastAsia="ko-KR"/>
        </w:rPr>
      </w:pPr>
      <w:r>
        <w:rPr>
          <w:rFonts w:eastAsia="Malgun Gothic" w:hint="eastAsia"/>
          <w:b/>
          <w:sz w:val="20"/>
          <w:szCs w:val="20"/>
          <w:lang w:eastAsia="ko-KR"/>
        </w:rPr>
        <w:t xml:space="preserve">Table </w:t>
      </w:r>
      <w:r>
        <w:rPr>
          <w:rFonts w:eastAsia="Malgun Gothic"/>
          <w:b/>
          <w:sz w:val="20"/>
          <w:szCs w:val="20"/>
          <w:lang w:eastAsia="ko-KR"/>
        </w:rPr>
        <w:t>2-1-3</w:t>
      </w:r>
      <w:r>
        <w:rPr>
          <w:rFonts w:eastAsia="Malgun Gothic" w:hint="eastAsia"/>
          <w:sz w:val="20"/>
          <w:szCs w:val="20"/>
          <w:lang w:eastAsia="ko-KR"/>
        </w:rPr>
        <w:t xml:space="preserve"> Evaluation assumptions for </w:t>
      </w:r>
      <w:r>
        <w:rPr>
          <w:rFonts w:eastAsia="Malgun Gothic"/>
          <w:sz w:val="20"/>
          <w:szCs w:val="20"/>
          <w:lang w:eastAsia="ko-KR"/>
        </w:rPr>
        <w:t>sub-urban macro and rural scenarios</w:t>
      </w:r>
    </w:p>
    <w:tbl>
      <w:tblPr>
        <w:tblStyle w:val="TableGrid"/>
        <w:tblW w:w="0" w:type="auto"/>
        <w:tblLook w:val="04A0" w:firstRow="1" w:lastRow="0" w:firstColumn="1" w:lastColumn="0" w:noHBand="0" w:noVBand="1"/>
      </w:tblPr>
      <w:tblGrid>
        <w:gridCol w:w="1838"/>
        <w:gridCol w:w="7512"/>
      </w:tblGrid>
      <w:tr w:rsidR="0048332A">
        <w:trPr>
          <w:trHeight w:val="233"/>
        </w:trPr>
        <w:tc>
          <w:tcPr>
            <w:tcW w:w="1838" w:type="dxa"/>
          </w:tcPr>
          <w:p w:rsidR="0048332A" w:rsidRDefault="008337A7">
            <w:pPr>
              <w:overflowPunct w:val="0"/>
              <w:autoSpaceDE w:val="0"/>
              <w:autoSpaceDN w:val="0"/>
              <w:adjustRightInd w:val="0"/>
              <w:textAlignment w:val="baseline"/>
              <w:rPr>
                <w:rFonts w:eastAsia="微软雅黑"/>
                <w:b/>
                <w:sz w:val="20"/>
                <w:szCs w:val="20"/>
              </w:rPr>
            </w:pPr>
            <w:r>
              <w:rPr>
                <w:rFonts w:eastAsia="微软雅黑" w:hint="eastAsia"/>
                <w:b/>
                <w:sz w:val="20"/>
                <w:szCs w:val="20"/>
              </w:rPr>
              <w:t>Parameter</w:t>
            </w:r>
            <w:r>
              <w:rPr>
                <w:rFonts w:eastAsia="微软雅黑"/>
                <w:b/>
                <w:sz w:val="20"/>
                <w:szCs w:val="20"/>
              </w:rPr>
              <w:t>s</w:t>
            </w:r>
          </w:p>
        </w:tc>
        <w:tc>
          <w:tcPr>
            <w:tcW w:w="7512" w:type="dxa"/>
          </w:tcPr>
          <w:p w:rsidR="0048332A" w:rsidRDefault="008337A7">
            <w:pPr>
              <w:overflowPunct w:val="0"/>
              <w:autoSpaceDE w:val="0"/>
              <w:autoSpaceDN w:val="0"/>
              <w:adjustRightInd w:val="0"/>
              <w:jc w:val="both"/>
              <w:textAlignment w:val="baseline"/>
              <w:rPr>
                <w:rFonts w:eastAsia="微软雅黑"/>
                <w:b/>
                <w:sz w:val="20"/>
                <w:szCs w:val="20"/>
              </w:rPr>
            </w:pPr>
            <w:r>
              <w:rPr>
                <w:rFonts w:eastAsia="微软雅黑" w:hint="eastAsia"/>
                <w:b/>
                <w:sz w:val="20"/>
                <w:szCs w:val="20"/>
              </w:rPr>
              <w:t>V</w:t>
            </w:r>
            <w:r>
              <w:rPr>
                <w:rFonts w:eastAsia="微软雅黑"/>
                <w:b/>
                <w:sz w:val="20"/>
                <w:szCs w:val="20"/>
              </w:rPr>
              <w:t>alues or assumptions</w:t>
            </w:r>
          </w:p>
        </w:tc>
      </w:tr>
      <w:tr w:rsidR="0048332A">
        <w:trPr>
          <w:trHeight w:val="170"/>
        </w:trPr>
        <w:tc>
          <w:tcPr>
            <w:tcW w:w="1838" w:type="dxa"/>
          </w:tcPr>
          <w:p w:rsidR="0048332A" w:rsidRDefault="008337A7">
            <w:pPr>
              <w:overflowPunct w:val="0"/>
              <w:autoSpaceDE w:val="0"/>
              <w:autoSpaceDN w:val="0"/>
              <w:adjustRightInd w:val="0"/>
              <w:textAlignment w:val="baseline"/>
              <w:rPr>
                <w:rFonts w:eastAsia="微软雅黑"/>
                <w:sz w:val="20"/>
                <w:szCs w:val="20"/>
              </w:rPr>
            </w:pPr>
            <w:r>
              <w:rPr>
                <w:rFonts w:eastAsia="微软雅黑"/>
                <w:sz w:val="20"/>
                <w:szCs w:val="20"/>
              </w:rPr>
              <w:t>L</w:t>
            </w:r>
            <w:r>
              <w:rPr>
                <w:rFonts w:eastAsia="微软雅黑" w:hint="eastAsia"/>
                <w:sz w:val="20"/>
                <w:szCs w:val="20"/>
              </w:rPr>
              <w:t>ay</w:t>
            </w:r>
            <w:r>
              <w:rPr>
                <w:rFonts w:eastAsia="微软雅黑"/>
                <w:sz w:val="20"/>
                <w:szCs w:val="20"/>
              </w:rPr>
              <w:t>out</w:t>
            </w:r>
          </w:p>
        </w:tc>
        <w:tc>
          <w:tcPr>
            <w:tcW w:w="7512"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Single layer with ISD = 1732m</w:t>
            </w:r>
          </w:p>
        </w:tc>
      </w:tr>
      <w:tr w:rsidR="0048332A">
        <w:trPr>
          <w:trHeight w:val="206"/>
        </w:trPr>
        <w:tc>
          <w:tcPr>
            <w:tcW w:w="1838" w:type="dxa"/>
          </w:tcPr>
          <w:p w:rsidR="0048332A" w:rsidRDefault="008337A7">
            <w:pPr>
              <w:overflowPunct w:val="0"/>
              <w:autoSpaceDE w:val="0"/>
              <w:autoSpaceDN w:val="0"/>
              <w:adjustRightInd w:val="0"/>
              <w:textAlignment w:val="baseline"/>
              <w:rPr>
                <w:rFonts w:eastAsia="微软雅黑"/>
                <w:sz w:val="20"/>
                <w:szCs w:val="20"/>
              </w:rPr>
            </w:pPr>
            <w:r>
              <w:rPr>
                <w:rFonts w:eastAsia="微软雅黑"/>
                <w:sz w:val="20"/>
                <w:szCs w:val="20"/>
              </w:rPr>
              <w:t>Carrier frequency</w:t>
            </w:r>
          </w:p>
        </w:tc>
        <w:tc>
          <w:tcPr>
            <w:tcW w:w="7512"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4</w:t>
            </w:r>
            <w:r>
              <w:rPr>
                <w:rFonts w:eastAsia="微软雅黑"/>
                <w:sz w:val="20"/>
                <w:szCs w:val="20"/>
              </w:rPr>
              <w:t xml:space="preserve">GHz, 7GHz, 4GHz+7GHz </w:t>
            </w:r>
            <w:r>
              <w:rPr>
                <w:rFonts w:eastAsia="微软雅黑" w:hint="eastAsia"/>
                <w:sz w:val="20"/>
                <w:szCs w:val="20"/>
              </w:rPr>
              <w:t>(</w:t>
            </w:r>
            <w:r>
              <w:rPr>
                <w:rFonts w:eastAsia="微软雅黑"/>
                <w:sz w:val="20"/>
                <w:szCs w:val="20"/>
              </w:rPr>
              <w:t>co-site deployment</w:t>
            </w:r>
            <w:r>
              <w:rPr>
                <w:rFonts w:eastAsia="微软雅黑" w:hint="eastAsia"/>
                <w:sz w:val="20"/>
                <w:szCs w:val="20"/>
              </w:rPr>
              <w:t>)</w:t>
            </w:r>
          </w:p>
        </w:tc>
      </w:tr>
      <w:tr w:rsidR="0048332A">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B</w:t>
            </w:r>
            <w:r>
              <w:rPr>
                <w:rFonts w:eastAsia="微软雅黑"/>
                <w:sz w:val="20"/>
                <w:szCs w:val="20"/>
              </w:rPr>
              <w:t>S antenna model</w:t>
            </w:r>
          </w:p>
        </w:tc>
        <w:tc>
          <w:tcPr>
            <w:tcW w:w="7512" w:type="dxa"/>
          </w:tcPr>
          <w:p w:rsidR="0048332A" w:rsidRPr="00E2221F"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szCs w:val="20"/>
              </w:rPr>
            </w:pPr>
            <w:r w:rsidRPr="00E2221F">
              <w:rPr>
                <w:rFonts w:ascii="Times New Roman" w:eastAsia="微软雅黑" w:hAnsi="Times New Roman"/>
                <w:szCs w:val="20"/>
              </w:rPr>
              <w:t>4GHz:</w:t>
            </w:r>
            <w:r w:rsidRPr="00E2221F">
              <w:rPr>
                <w:rFonts w:ascii="Times New Roman" w:hAnsi="Times New Roman"/>
                <w:szCs w:val="20"/>
              </w:rPr>
              <w:t xml:space="preserve"> </w:t>
            </w:r>
            <w:r w:rsidRPr="00E2221F">
              <w:rPr>
                <w:rFonts w:ascii="Times New Roman" w:eastAsia="微软雅黑" w:hAnsi="Times New Roman"/>
                <w:szCs w:val="20"/>
              </w:rPr>
              <w:t>(M, N, P, M</w:t>
            </w:r>
            <w:r w:rsidRPr="00E2221F">
              <w:rPr>
                <w:rFonts w:ascii="Times New Roman" w:eastAsia="微软雅黑" w:hAnsi="Times New Roman"/>
                <w:szCs w:val="20"/>
                <w:vertAlign w:val="subscript"/>
              </w:rPr>
              <w:t>g</w:t>
            </w:r>
            <w:r w:rsidRPr="00E2221F">
              <w:rPr>
                <w:rFonts w:ascii="Times New Roman" w:eastAsia="微软雅黑" w:hAnsi="Times New Roman"/>
                <w:szCs w:val="20"/>
              </w:rPr>
              <w:t>, N</w:t>
            </w:r>
            <w:r w:rsidRPr="00E2221F">
              <w:rPr>
                <w:rFonts w:ascii="Times New Roman" w:eastAsia="微软雅黑" w:hAnsi="Times New Roman"/>
                <w:szCs w:val="20"/>
                <w:vertAlign w:val="subscript"/>
              </w:rPr>
              <w:t>g</w:t>
            </w:r>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M</w:t>
            </w:r>
            <w:r w:rsidRPr="00E2221F">
              <w:rPr>
                <w:rFonts w:ascii="Times New Roman" w:eastAsia="微软雅黑" w:hAnsi="Times New Roman"/>
                <w:szCs w:val="20"/>
                <w:vertAlign w:val="subscript"/>
              </w:rPr>
              <w:t>p</w:t>
            </w:r>
            <w:proofErr w:type="spellEnd"/>
            <w:r w:rsidRPr="00E2221F">
              <w:rPr>
                <w:rFonts w:ascii="Times New Roman" w:eastAsia="微软雅黑" w:hAnsi="Times New Roman"/>
                <w:szCs w:val="20"/>
              </w:rPr>
              <w:t>, N</w:t>
            </w:r>
            <w:r w:rsidRPr="00E2221F">
              <w:rPr>
                <w:rFonts w:ascii="Times New Roman" w:eastAsia="微软雅黑" w:hAnsi="Times New Roman"/>
                <w:szCs w:val="20"/>
                <w:vertAlign w:val="subscript"/>
              </w:rPr>
              <w:t>p</w:t>
            </w:r>
            <w:r w:rsidRPr="00E2221F">
              <w:rPr>
                <w:rFonts w:ascii="Times New Roman" w:eastAsia="微软雅黑" w:hAnsi="Times New Roman"/>
                <w:szCs w:val="20"/>
              </w:rPr>
              <w:t>) = (24, 8, 2, 1, 1; 8, 8),</w:t>
            </w:r>
            <w:r w:rsidRPr="00E2221F">
              <w:rPr>
                <w:rFonts w:ascii="Times New Roman" w:hAnsi="Times New Roman"/>
                <w:szCs w:val="20"/>
              </w:rPr>
              <w:t xml:space="preserve"> </w:t>
            </w:r>
            <w:r w:rsidRPr="00E2221F">
              <w:rPr>
                <w:rFonts w:ascii="Times New Roman" w:eastAsia="微软雅黑" w:hAnsi="Times New Roman"/>
                <w:szCs w:val="20"/>
              </w:rPr>
              <w:t>(</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H</w:t>
            </w:r>
            <w:proofErr w:type="spellEnd"/>
            <w:r w:rsidRPr="00E2221F">
              <w:rPr>
                <w:rFonts w:ascii="Times New Roman" w:eastAsia="微软雅黑" w:hAnsi="Times New Roman"/>
                <w:szCs w:val="20"/>
              </w:rPr>
              <w:t xml:space="preserve">, </w:t>
            </w:r>
            <w:proofErr w:type="spellStart"/>
            <w:r w:rsidRPr="00E2221F">
              <w:rPr>
                <w:rFonts w:ascii="Times New Roman" w:eastAsia="微软雅黑" w:hAnsi="Times New Roman"/>
                <w:szCs w:val="20"/>
              </w:rPr>
              <w:t>d</w:t>
            </w:r>
            <w:r w:rsidRPr="00E2221F">
              <w:rPr>
                <w:rFonts w:ascii="Times New Roman" w:eastAsia="微软雅黑" w:hAnsi="Times New Roman"/>
                <w:szCs w:val="20"/>
                <w:vertAlign w:val="subscript"/>
              </w:rPr>
              <w:t>V</w:t>
            </w:r>
            <w:proofErr w:type="spellEnd"/>
            <w:r w:rsidRPr="00E2221F">
              <w:rPr>
                <w:rFonts w:ascii="Times New Roman" w:eastAsia="微软雅黑" w:hAnsi="Times New Roman"/>
                <w:szCs w:val="20"/>
              </w:rPr>
              <w:t xml:space="preserve">) = (0.5, </w:t>
            </w:r>
            <w:proofErr w:type="gramStart"/>
            <w:r w:rsidRPr="00E2221F">
              <w:rPr>
                <w:rFonts w:ascii="Times New Roman" w:eastAsia="微软雅黑" w:hAnsi="Times New Roman"/>
                <w:szCs w:val="20"/>
              </w:rPr>
              <w:t>0.8)λ</w:t>
            </w:r>
            <w:proofErr w:type="gramEnd"/>
          </w:p>
          <w:p w:rsidR="0048332A" w:rsidRPr="00E2221F" w:rsidRDefault="008337A7">
            <w:pPr>
              <w:pStyle w:val="ListParagraph"/>
              <w:numPr>
                <w:ilvl w:val="0"/>
                <w:numId w:val="10"/>
              </w:numPr>
              <w:overflowPunct w:val="0"/>
              <w:autoSpaceDE w:val="0"/>
              <w:autoSpaceDN w:val="0"/>
              <w:adjustRightInd w:val="0"/>
              <w:ind w:leftChars="0" w:left="227" w:hanging="227"/>
              <w:jc w:val="both"/>
              <w:textAlignment w:val="baseline"/>
              <w:rPr>
                <w:rFonts w:ascii="Times New Roman" w:eastAsia="微软雅黑" w:hAnsi="Times New Roman"/>
                <w:szCs w:val="20"/>
              </w:rPr>
            </w:pPr>
            <w:r w:rsidRPr="00E2221F">
              <w:rPr>
                <w:rFonts w:ascii="Times New Roman" w:hAnsi="Times New Roman"/>
              </w:rPr>
              <w:t>7GHz: (M, N, P, M</w:t>
            </w:r>
            <w:r w:rsidRPr="00E2221F">
              <w:rPr>
                <w:rFonts w:ascii="Times New Roman" w:hAnsi="Times New Roman"/>
                <w:vertAlign w:val="subscript"/>
              </w:rPr>
              <w:t>g</w:t>
            </w:r>
            <w:r w:rsidRPr="00E2221F">
              <w:rPr>
                <w:rFonts w:ascii="Times New Roman" w:hAnsi="Times New Roman"/>
              </w:rPr>
              <w:t>, N</w:t>
            </w:r>
            <w:r w:rsidRPr="00E2221F">
              <w:rPr>
                <w:rFonts w:ascii="Times New Roman" w:hAnsi="Times New Roman"/>
                <w:vertAlign w:val="subscript"/>
              </w:rPr>
              <w:t>g</w:t>
            </w:r>
            <w:r w:rsidRPr="00E2221F">
              <w:rPr>
                <w:rFonts w:ascii="Times New Roman" w:hAnsi="Times New Roman"/>
              </w:rPr>
              <w:t xml:space="preserve">; </w:t>
            </w:r>
            <w:proofErr w:type="spellStart"/>
            <w:r w:rsidRPr="00E2221F">
              <w:rPr>
                <w:rFonts w:ascii="Times New Roman" w:hAnsi="Times New Roman"/>
              </w:rPr>
              <w:t>M</w:t>
            </w:r>
            <w:r w:rsidRPr="00E2221F">
              <w:rPr>
                <w:rFonts w:ascii="Times New Roman" w:hAnsi="Times New Roman"/>
                <w:vertAlign w:val="subscript"/>
              </w:rPr>
              <w:t>p</w:t>
            </w:r>
            <w:proofErr w:type="spellEnd"/>
            <w:r w:rsidRPr="00E2221F">
              <w:rPr>
                <w:rFonts w:ascii="Times New Roman" w:hAnsi="Times New Roman"/>
              </w:rPr>
              <w:t>, N</w:t>
            </w:r>
            <w:r w:rsidRPr="00E2221F">
              <w:rPr>
                <w:rFonts w:ascii="Times New Roman" w:hAnsi="Times New Roman"/>
                <w:vertAlign w:val="subscript"/>
              </w:rPr>
              <w:t>p</w:t>
            </w:r>
            <w:r w:rsidRPr="00E2221F">
              <w:rPr>
                <w:rFonts w:ascii="Times New Roman" w:hAnsi="Times New Roman"/>
              </w:rPr>
              <w:t>) = (48, 16, 2, 1, 1; 8, 16), or (64, 16, 2, 1, 1; 16, 16), (</w:t>
            </w:r>
            <w:proofErr w:type="spellStart"/>
            <w:r w:rsidRPr="00E2221F">
              <w:rPr>
                <w:rFonts w:ascii="Times New Roman" w:hAnsi="Times New Roman"/>
              </w:rPr>
              <w:t>d</w:t>
            </w:r>
            <w:r w:rsidRPr="00E2221F">
              <w:rPr>
                <w:rFonts w:ascii="Times New Roman" w:hAnsi="Times New Roman"/>
                <w:vertAlign w:val="subscript"/>
              </w:rPr>
              <w:t>H</w:t>
            </w:r>
            <w:proofErr w:type="spellEnd"/>
            <w:r w:rsidRPr="00E2221F">
              <w:rPr>
                <w:rFonts w:ascii="Times New Roman" w:hAnsi="Times New Roman"/>
              </w:rPr>
              <w:t xml:space="preserve">, </w:t>
            </w:r>
            <w:proofErr w:type="spellStart"/>
            <w:r w:rsidRPr="00E2221F">
              <w:rPr>
                <w:rFonts w:ascii="Times New Roman" w:hAnsi="Times New Roman"/>
              </w:rPr>
              <w:t>d</w:t>
            </w:r>
            <w:r w:rsidRPr="00E2221F">
              <w:rPr>
                <w:rFonts w:ascii="Times New Roman" w:hAnsi="Times New Roman"/>
                <w:vertAlign w:val="subscript"/>
              </w:rPr>
              <w:t>V</w:t>
            </w:r>
            <w:proofErr w:type="spellEnd"/>
            <w:r w:rsidRPr="00E2221F">
              <w:rPr>
                <w:rFonts w:ascii="Times New Roman" w:hAnsi="Times New Roman"/>
              </w:rPr>
              <w:t xml:space="preserve">) = (0.5, </w:t>
            </w:r>
            <w:proofErr w:type="gramStart"/>
            <w:r w:rsidRPr="00E2221F">
              <w:rPr>
                <w:rFonts w:ascii="Times New Roman" w:hAnsi="Times New Roman"/>
              </w:rPr>
              <w:t>0.8)λ.</w:t>
            </w:r>
            <w:proofErr w:type="gramEnd"/>
          </w:p>
        </w:tc>
      </w:tr>
      <w:tr w:rsidR="0048332A">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U</w:t>
            </w:r>
            <w:r>
              <w:rPr>
                <w:rFonts w:eastAsia="微软雅黑"/>
                <w:sz w:val="20"/>
                <w:szCs w:val="20"/>
              </w:rPr>
              <w:t>E antenna model</w:t>
            </w:r>
          </w:p>
        </w:tc>
        <w:tc>
          <w:tcPr>
            <w:tcW w:w="7512"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Alt</w:t>
            </w:r>
            <w:r>
              <w:rPr>
                <w:rFonts w:eastAsia="微软雅黑"/>
                <w:sz w:val="20"/>
                <w:szCs w:val="20"/>
              </w:rPr>
              <w:t>.</w:t>
            </w:r>
            <w:r>
              <w:rPr>
                <w:rFonts w:eastAsia="微软雅黑" w:hint="eastAsia"/>
                <w:sz w:val="20"/>
                <w:szCs w:val="20"/>
              </w:rPr>
              <w:t xml:space="preserve"> 1/2: See Table </w:t>
            </w:r>
            <w:r>
              <w:rPr>
                <w:rFonts w:eastAsia="微软雅黑"/>
                <w:sz w:val="20"/>
                <w:szCs w:val="20"/>
              </w:rPr>
              <w:t>2-1-</w:t>
            </w:r>
            <w:r>
              <w:rPr>
                <w:rFonts w:eastAsia="微软雅黑" w:hint="eastAsia"/>
                <w:sz w:val="20"/>
                <w:szCs w:val="20"/>
              </w:rPr>
              <w:t>1</w:t>
            </w:r>
            <w:r>
              <w:rPr>
                <w:rFonts w:eastAsia="微软雅黑"/>
                <w:sz w:val="20"/>
                <w:szCs w:val="20"/>
              </w:rPr>
              <w:t>;</w:t>
            </w:r>
          </w:p>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Alt</w:t>
            </w:r>
            <w:r>
              <w:rPr>
                <w:rFonts w:eastAsia="微软雅黑"/>
                <w:sz w:val="20"/>
                <w:szCs w:val="20"/>
              </w:rPr>
              <w:t>.</w:t>
            </w:r>
            <w:r>
              <w:rPr>
                <w:rFonts w:eastAsia="微软雅黑" w:hint="eastAsia"/>
                <w:sz w:val="20"/>
                <w:szCs w:val="20"/>
              </w:rPr>
              <w:t xml:space="preserve"> 3: </w:t>
            </w:r>
            <w:r>
              <w:rPr>
                <w:rFonts w:eastAsia="微软雅黑"/>
                <w:sz w:val="20"/>
                <w:szCs w:val="20"/>
              </w:rPr>
              <w:t xml:space="preserve">CPE antenna </w:t>
            </w:r>
            <w:r>
              <w:rPr>
                <w:rFonts w:eastAsia="微软雅黑" w:hint="eastAsia"/>
                <w:sz w:val="20"/>
                <w:szCs w:val="20"/>
              </w:rPr>
              <w:t>model</w:t>
            </w:r>
            <w:r>
              <w:rPr>
                <w:rFonts w:eastAsia="微软雅黑"/>
                <w:sz w:val="20"/>
                <w:szCs w:val="20"/>
              </w:rPr>
              <w:t xml:space="preserve"> described in Section 2.2.2.</w:t>
            </w:r>
          </w:p>
        </w:tc>
      </w:tr>
      <w:tr w:rsidR="0048332A">
        <w:trPr>
          <w:trHeight w:val="152"/>
        </w:trPr>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B</w:t>
            </w:r>
            <w:r>
              <w:rPr>
                <w:rFonts w:eastAsia="微软雅黑"/>
                <w:sz w:val="20"/>
                <w:szCs w:val="20"/>
              </w:rPr>
              <w:t>S height</w:t>
            </w:r>
          </w:p>
        </w:tc>
        <w:tc>
          <w:tcPr>
            <w:tcW w:w="7512" w:type="dxa"/>
          </w:tcPr>
          <w:p w:rsidR="0048332A" w:rsidRDefault="008337A7">
            <w:pPr>
              <w:tabs>
                <w:tab w:val="left" w:pos="711"/>
              </w:tabs>
              <w:overflowPunct w:val="0"/>
              <w:autoSpaceDE w:val="0"/>
              <w:autoSpaceDN w:val="0"/>
              <w:adjustRightInd w:val="0"/>
              <w:jc w:val="both"/>
              <w:textAlignment w:val="baseline"/>
              <w:rPr>
                <w:rFonts w:eastAsia="微软雅黑"/>
                <w:sz w:val="20"/>
                <w:szCs w:val="20"/>
              </w:rPr>
            </w:pPr>
            <w:r>
              <w:rPr>
                <w:rFonts w:eastAsia="微软雅黑"/>
                <w:sz w:val="20"/>
                <w:szCs w:val="20"/>
              </w:rPr>
              <w:t>35m</w:t>
            </w:r>
          </w:p>
        </w:tc>
      </w:tr>
      <w:tr w:rsidR="0048332A">
        <w:trPr>
          <w:trHeight w:val="269"/>
        </w:trPr>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U</w:t>
            </w:r>
            <w:r>
              <w:rPr>
                <w:rFonts w:eastAsia="微软雅黑"/>
                <w:sz w:val="20"/>
                <w:szCs w:val="20"/>
              </w:rPr>
              <w:t>E height</w:t>
            </w:r>
          </w:p>
        </w:tc>
        <w:tc>
          <w:tcPr>
            <w:tcW w:w="7512"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hint="eastAsia"/>
                <w:sz w:val="20"/>
                <w:szCs w:val="20"/>
              </w:rPr>
              <w:t>1.5m</w:t>
            </w:r>
            <w:r>
              <w:rPr>
                <w:rFonts w:eastAsia="微软雅黑"/>
                <w:sz w:val="20"/>
                <w:szCs w:val="20"/>
              </w:rPr>
              <w:t xml:space="preserve"> on different floors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p>
        </w:tc>
      </w:tr>
      <w:tr w:rsidR="0048332A">
        <w:trPr>
          <w:trHeight w:val="269"/>
        </w:trPr>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sz w:val="20"/>
                <w:szCs w:val="20"/>
              </w:rPr>
              <w:t>Traffic model</w:t>
            </w:r>
          </w:p>
        </w:tc>
        <w:tc>
          <w:tcPr>
            <w:tcW w:w="7512" w:type="dxa"/>
          </w:tcPr>
          <w:p w:rsidR="0048332A" w:rsidRDefault="008337A7">
            <w:pPr>
              <w:overflowPunct w:val="0"/>
              <w:autoSpaceDE w:val="0"/>
              <w:autoSpaceDN w:val="0"/>
              <w:adjustRightInd w:val="0"/>
              <w:snapToGrid w:val="0"/>
              <w:jc w:val="both"/>
              <w:textAlignment w:val="baseline"/>
              <w:rPr>
                <w:sz w:val="20"/>
                <w:szCs w:val="20"/>
              </w:rPr>
            </w:pPr>
            <w:r>
              <w:rPr>
                <w:sz w:val="20"/>
                <w:szCs w:val="20"/>
              </w:rPr>
              <w:t xml:space="preserve">Full buffer and FTP model 1/2/3 with packet size 0.02, 0.1 and 0.5Mbytes (other value is not precluded). </w:t>
            </w:r>
          </w:p>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Other traffic models are not precluded.</w:t>
            </w:r>
          </w:p>
        </w:tc>
      </w:tr>
      <w:tr w:rsidR="0048332A">
        <w:trPr>
          <w:trHeight w:val="269"/>
        </w:trPr>
        <w:tc>
          <w:tcPr>
            <w:tcW w:w="1838"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Additional channel modeling features</w:t>
            </w:r>
          </w:p>
        </w:tc>
        <w:tc>
          <w:tcPr>
            <w:tcW w:w="7512" w:type="dxa"/>
          </w:tcPr>
          <w:p w:rsidR="0048332A" w:rsidRDefault="008337A7">
            <w:pPr>
              <w:overflowPunct w:val="0"/>
              <w:autoSpaceDE w:val="0"/>
              <w:autoSpaceDN w:val="0"/>
              <w:adjustRightInd w:val="0"/>
              <w:jc w:val="both"/>
              <w:textAlignment w:val="baseline"/>
              <w:rPr>
                <w:rFonts w:eastAsia="微软雅黑"/>
                <w:sz w:val="20"/>
                <w:szCs w:val="20"/>
              </w:rPr>
            </w:pPr>
            <w:r>
              <w:rPr>
                <w:rFonts w:eastAsia="微软雅黑"/>
                <w:sz w:val="20"/>
                <w:szCs w:val="20"/>
              </w:rPr>
              <w:t xml:space="preserve">Near-field and SNS channel model in </w:t>
            </w:r>
            <w:r>
              <w:rPr>
                <w:rFonts w:eastAsia="微软雅黑"/>
                <w:sz w:val="20"/>
                <w:szCs w:val="20"/>
              </w:rPr>
              <w:fldChar w:fldCharType="begin"/>
            </w:r>
            <w:r>
              <w:rPr>
                <w:rFonts w:eastAsia="微软雅黑"/>
                <w:sz w:val="20"/>
                <w:szCs w:val="20"/>
              </w:rPr>
              <w:instrText xml:space="preserve"> REF _Ref205826948 \r \h </w:instrText>
            </w:r>
            <w:r>
              <w:rPr>
                <w:rFonts w:eastAsia="微软雅黑"/>
                <w:sz w:val="20"/>
                <w:szCs w:val="20"/>
              </w:rPr>
            </w:r>
            <w:r>
              <w:rPr>
                <w:rFonts w:eastAsia="微软雅黑"/>
                <w:sz w:val="20"/>
                <w:szCs w:val="20"/>
              </w:rPr>
              <w:fldChar w:fldCharType="separate"/>
            </w:r>
            <w:r w:rsidR="00FD4494">
              <w:rPr>
                <w:rFonts w:eastAsia="微软雅黑"/>
                <w:sz w:val="20"/>
                <w:szCs w:val="20"/>
              </w:rPr>
              <w:t>[4]</w:t>
            </w:r>
            <w:r>
              <w:rPr>
                <w:rFonts w:eastAsia="微软雅黑"/>
                <w:sz w:val="20"/>
                <w:szCs w:val="20"/>
              </w:rPr>
              <w:fldChar w:fldCharType="end"/>
            </w:r>
          </w:p>
        </w:tc>
      </w:tr>
    </w:tbl>
    <w:p w:rsidR="0048332A" w:rsidRDefault="008337A7">
      <w:pPr>
        <w:numPr>
          <w:ilvl w:val="2"/>
          <w:numId w:val="1"/>
        </w:numPr>
        <w:snapToGrid w:val="0"/>
        <w:spacing w:before="240" w:afterLines="50" w:after="120"/>
        <w:jc w:val="both"/>
        <w:outlineLvl w:val="2"/>
        <w:rPr>
          <w:b/>
          <w:szCs w:val="20"/>
        </w:rPr>
      </w:pPr>
      <w:r>
        <w:rPr>
          <w:b/>
          <w:szCs w:val="20"/>
        </w:rPr>
        <w:t xml:space="preserve">Non-terrestrial network </w:t>
      </w:r>
    </w:p>
    <w:p w:rsidR="0048332A" w:rsidRDefault="008337A7">
      <w:pPr>
        <w:spacing w:beforeLines="50" w:before="120" w:afterLines="50" w:after="120"/>
        <w:jc w:val="both"/>
        <w:rPr>
          <w:sz w:val="20"/>
          <w:szCs w:val="20"/>
        </w:rPr>
      </w:pPr>
      <w:r>
        <w:rPr>
          <w:sz w:val="20"/>
          <w:szCs w:val="20"/>
        </w:rPr>
        <w:t>For 6G NTN, more scenarios are considered in addition to 5G NTN to enable flexible NTN deployment. The following aspects can be considered for simulation:</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 xml:space="preserve">Regarding the layout of NTN, in addition to the single-orbit system considered in 5G NTN, multi-orbit system should be considered in 6G to enable a flexible topology and </w:t>
      </w:r>
      <w:proofErr w:type="spellStart"/>
      <w:r w:rsidRPr="00E2221F">
        <w:rPr>
          <w:rFonts w:ascii="Times New Roman" w:eastAsia="Malgun Gothic" w:hAnsi="Times New Roman"/>
          <w:lang w:eastAsia="ko-KR"/>
        </w:rPr>
        <w:t>refarming</w:t>
      </w:r>
      <w:proofErr w:type="spellEnd"/>
      <w:r w:rsidRPr="00E2221F">
        <w:rPr>
          <w:rFonts w:ascii="Times New Roman" w:eastAsia="Malgun Gothic" w:hAnsi="Times New Roman"/>
          <w:lang w:eastAsia="ko-KR"/>
        </w:rPr>
        <w:t xml:space="preserve"> of space-borne resource. Moreover, TN-NTN integrated system should also be considered according to regulation.</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 xml:space="preserve">Regarding the payload type, transparent and regenerative payload are already considered in 5G NTN and need to be also supported in 6G NTN. Additionally, the case where a transparent payload has limited onboard </w:t>
      </w:r>
      <w:r w:rsidRPr="00E2221F">
        <w:rPr>
          <w:rFonts w:ascii="Times New Roman" w:eastAsia="Malgun Gothic" w:hAnsi="Times New Roman"/>
          <w:lang w:eastAsia="ko-KR"/>
        </w:rPr>
        <w:lastRenderedPageBreak/>
        <w:t xml:space="preserve">processing capability, e.g., MT onboard which enables </w:t>
      </w:r>
      <w:proofErr w:type="spellStart"/>
      <w:r w:rsidRPr="00E2221F">
        <w:rPr>
          <w:rFonts w:ascii="Times New Roman" w:eastAsia="Malgun Gothic" w:hAnsi="Times New Roman"/>
          <w:lang w:eastAsia="ko-KR"/>
        </w:rPr>
        <w:t>gNB</w:t>
      </w:r>
      <w:proofErr w:type="spellEnd"/>
      <w:r w:rsidRPr="00E2221F">
        <w:rPr>
          <w:rFonts w:ascii="Times New Roman" w:eastAsia="Malgun Gothic" w:hAnsi="Times New Roman"/>
          <w:lang w:eastAsia="ko-KR"/>
        </w:rPr>
        <w:t xml:space="preserve"> on the ground to directly control the satellite beam, is also preferred to be supported, which guarantees joint operation between satellite controlling and scheduling with reduced cost at satellite.</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t>
      </w:r>
    </w:p>
    <w:p w:rsidR="0048332A" w:rsidRDefault="008337A7">
      <w:pPr>
        <w:snapToGrid w:val="0"/>
        <w:spacing w:before="120" w:afterLines="50" w:after="120"/>
        <w:jc w:val="both"/>
        <w:textAlignment w:val="center"/>
        <w:rPr>
          <w:b/>
          <w:i/>
          <w:sz w:val="20"/>
          <w:szCs w:val="20"/>
        </w:rPr>
      </w:pPr>
      <w:r>
        <w:rPr>
          <w:rFonts w:hint="eastAsia"/>
          <w:b/>
          <w:i/>
          <w:sz w:val="20"/>
          <w:szCs w:val="20"/>
          <w:u w:val="single"/>
        </w:rPr>
        <w:t xml:space="preserve">Proposal </w:t>
      </w:r>
      <w:r>
        <w:rPr>
          <w:b/>
          <w:i/>
          <w:sz w:val="20"/>
          <w:szCs w:val="20"/>
          <w:u w:val="single"/>
        </w:rPr>
        <w:t>2-1-4</w:t>
      </w:r>
      <w:r>
        <w:rPr>
          <w:rFonts w:hint="eastAsia"/>
          <w:b/>
          <w:i/>
          <w:sz w:val="20"/>
          <w:szCs w:val="20"/>
        </w:rPr>
        <w:t xml:space="preserve">: </w:t>
      </w:r>
      <w:r>
        <w:rPr>
          <w:i/>
          <w:sz w:val="20"/>
          <w:szCs w:val="20"/>
        </w:rPr>
        <w:t>For 6G NTN, the evaluation assumptions listed in Table 2-1-4 is recommended.</w:t>
      </w:r>
    </w:p>
    <w:p w:rsidR="0048332A" w:rsidRDefault="008337A7">
      <w:pPr>
        <w:pStyle w:val="Caption"/>
        <w:jc w:val="center"/>
        <w:rPr>
          <w:rFonts w:eastAsia="Times New Roman"/>
          <w:b w:val="0"/>
        </w:rPr>
      </w:pPr>
      <w:r>
        <w:t xml:space="preserve">Table 2-1-4 </w:t>
      </w:r>
      <w:r>
        <w:rPr>
          <w:b w:val="0"/>
        </w:rPr>
        <w:t>6G NTN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1984"/>
        <w:gridCol w:w="5528"/>
      </w:tblGrid>
      <w:tr w:rsidR="0048332A">
        <w:trPr>
          <w:trHeight w:val="20"/>
          <w:jc w:val="center"/>
        </w:trPr>
        <w:tc>
          <w:tcPr>
            <w:tcW w:w="2044"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48332A" w:rsidRDefault="008337A7">
            <w:pPr>
              <w:overflowPunct w:val="0"/>
              <w:autoSpaceDE w:val="0"/>
              <w:autoSpaceDN w:val="0"/>
              <w:adjustRightInd w:val="0"/>
              <w:spacing w:after="100" w:afterAutospacing="1" w:line="320" w:lineRule="exact"/>
              <w:textAlignment w:val="baseline"/>
              <w:rPr>
                <w:rFonts w:eastAsia="微软雅黑"/>
                <w:sz w:val="20"/>
              </w:rPr>
            </w:pPr>
            <w:r>
              <w:rPr>
                <w:rFonts w:eastAsia="微软雅黑"/>
                <w:b/>
                <w:sz w:val="20"/>
                <w:szCs w:val="20"/>
              </w:rPr>
              <w:t>Parameters</w:t>
            </w:r>
          </w:p>
        </w:tc>
        <w:tc>
          <w:tcPr>
            <w:tcW w:w="29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48332A" w:rsidRDefault="008337A7">
            <w:pPr>
              <w:overflowPunct w:val="0"/>
              <w:autoSpaceDE w:val="0"/>
              <w:autoSpaceDN w:val="0"/>
              <w:adjustRightInd w:val="0"/>
              <w:spacing w:after="100" w:afterAutospacing="1" w:line="320" w:lineRule="exact"/>
              <w:jc w:val="both"/>
              <w:textAlignment w:val="baseline"/>
              <w:rPr>
                <w:rFonts w:eastAsia="微软雅黑"/>
                <w:sz w:val="20"/>
              </w:rPr>
            </w:pPr>
            <w:r>
              <w:rPr>
                <w:rFonts w:eastAsia="微软雅黑"/>
                <w:b/>
                <w:sz w:val="20"/>
                <w:szCs w:val="20"/>
              </w:rPr>
              <w:t>Values or assumptions</w:t>
            </w:r>
          </w:p>
        </w:tc>
      </w:tr>
      <w:tr w:rsidR="0048332A">
        <w:trPr>
          <w:trHeight w:val="20"/>
          <w:jc w:val="center"/>
        </w:trPr>
        <w:tc>
          <w:tcPr>
            <w:tcW w:w="2044" w:type="pct"/>
            <w:gridSpan w:val="2"/>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Layout</w:t>
            </w:r>
          </w:p>
        </w:tc>
        <w:tc>
          <w:tcPr>
            <w:tcW w:w="295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pStyle w:val="TAL"/>
              <w:rPr>
                <w:rFonts w:ascii="Times New Roman" w:hAnsi="Times New Roman"/>
                <w:sz w:val="20"/>
              </w:rPr>
            </w:pPr>
            <w:r>
              <w:rPr>
                <w:rFonts w:ascii="Times New Roman" w:hAnsi="Times New Roman"/>
                <w:sz w:val="20"/>
              </w:rPr>
              <w:t xml:space="preserve">Alt 1: Single-orbit system in 5G NTN </w:t>
            </w:r>
            <w:r>
              <w:rPr>
                <w:rFonts w:ascii="Times New Roman" w:hAnsi="Times New Roman"/>
                <w:sz w:val="20"/>
              </w:rPr>
              <w:fldChar w:fldCharType="begin"/>
            </w:r>
            <w:r>
              <w:rPr>
                <w:rFonts w:ascii="Times New Roman" w:hAnsi="Times New Roman"/>
                <w:sz w:val="20"/>
              </w:rPr>
              <w:instrText xml:space="preserve"> REF _Ref205805153 \r \h  \* MERGEFORMAT </w:instrText>
            </w:r>
            <w:r>
              <w:rPr>
                <w:rFonts w:ascii="Times New Roman" w:hAnsi="Times New Roman"/>
                <w:sz w:val="20"/>
              </w:rPr>
            </w:r>
            <w:r>
              <w:rPr>
                <w:rFonts w:ascii="Times New Roman" w:hAnsi="Times New Roman"/>
                <w:sz w:val="20"/>
              </w:rPr>
              <w:fldChar w:fldCharType="separate"/>
            </w:r>
            <w:r w:rsidR="00FD4494">
              <w:rPr>
                <w:rFonts w:ascii="Times New Roman" w:hAnsi="Times New Roman"/>
                <w:sz w:val="20"/>
              </w:rPr>
              <w:t>[5]</w:t>
            </w:r>
            <w:r>
              <w:rPr>
                <w:rFonts w:ascii="Times New Roman" w:hAnsi="Times New Roman"/>
                <w:sz w:val="20"/>
              </w:rPr>
              <w:fldChar w:fldCharType="end"/>
            </w:r>
            <w:r>
              <w:rPr>
                <w:rFonts w:ascii="Times New Roman" w:hAnsi="Times New Roman"/>
                <w:sz w:val="20"/>
              </w:rPr>
              <w:t>, e.g., LEO, GEO</w:t>
            </w:r>
          </w:p>
          <w:p w:rsidR="0048332A" w:rsidRDefault="008337A7">
            <w:pPr>
              <w:pStyle w:val="TAL"/>
              <w:rPr>
                <w:rFonts w:ascii="Times New Roman" w:hAnsi="Times New Roman"/>
                <w:sz w:val="20"/>
                <w:lang w:eastAsia="zh-CN"/>
              </w:rPr>
            </w:pPr>
            <w:r>
              <w:rPr>
                <w:rFonts w:ascii="Times New Roman" w:hAnsi="Times New Roman"/>
                <w:sz w:val="20"/>
                <w:lang w:eastAsia="zh-CN"/>
              </w:rPr>
              <w:t>Alt 2: Multi-orbits system, e.g., combination of LEO and GEO</w:t>
            </w:r>
          </w:p>
          <w:p w:rsidR="0048332A" w:rsidRDefault="008337A7">
            <w:pPr>
              <w:pStyle w:val="TAL"/>
              <w:rPr>
                <w:rFonts w:ascii="Times New Roman" w:hAnsi="Times New Roman"/>
                <w:sz w:val="20"/>
                <w:lang w:eastAsia="zh-CN"/>
              </w:rPr>
            </w:pPr>
            <w:r>
              <w:rPr>
                <w:rFonts w:ascii="Times New Roman" w:hAnsi="Times New Roman"/>
                <w:sz w:val="20"/>
                <w:lang w:eastAsia="zh-CN"/>
              </w:rPr>
              <w:t>Alt 3: TN-NTN integrated system</w:t>
            </w:r>
          </w:p>
        </w:tc>
      </w:tr>
      <w:tr w:rsidR="0048332A">
        <w:trPr>
          <w:trHeight w:val="20"/>
          <w:jc w:val="center"/>
        </w:trPr>
        <w:tc>
          <w:tcPr>
            <w:tcW w:w="2044" w:type="pct"/>
            <w:gridSpan w:val="2"/>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Payload type</w:t>
            </w:r>
          </w:p>
        </w:tc>
        <w:tc>
          <w:tcPr>
            <w:tcW w:w="295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pStyle w:val="TAL"/>
              <w:rPr>
                <w:rFonts w:ascii="Times New Roman" w:hAnsi="Times New Roman"/>
                <w:sz w:val="20"/>
              </w:rPr>
            </w:pPr>
            <w:r>
              <w:rPr>
                <w:rFonts w:ascii="Times New Roman" w:hAnsi="Times New Roman"/>
                <w:sz w:val="20"/>
              </w:rPr>
              <w:t xml:space="preserve">Alt 1: transparent in 5G NTN </w:t>
            </w:r>
            <w:r>
              <w:rPr>
                <w:rFonts w:ascii="Times New Roman" w:hAnsi="Times New Roman"/>
                <w:sz w:val="20"/>
              </w:rPr>
              <w:fldChar w:fldCharType="begin"/>
            </w:r>
            <w:r>
              <w:rPr>
                <w:rFonts w:ascii="Times New Roman" w:hAnsi="Times New Roman"/>
                <w:sz w:val="20"/>
              </w:rPr>
              <w:instrText xml:space="preserve"> REF _Ref205805153 \r \h  \* MERGEFORMAT </w:instrText>
            </w:r>
            <w:r>
              <w:rPr>
                <w:rFonts w:ascii="Times New Roman" w:hAnsi="Times New Roman"/>
                <w:sz w:val="20"/>
              </w:rPr>
            </w:r>
            <w:r>
              <w:rPr>
                <w:rFonts w:ascii="Times New Roman" w:hAnsi="Times New Roman"/>
                <w:sz w:val="20"/>
              </w:rPr>
              <w:fldChar w:fldCharType="separate"/>
            </w:r>
            <w:r w:rsidR="00FD4494">
              <w:rPr>
                <w:rFonts w:ascii="Times New Roman" w:hAnsi="Times New Roman"/>
                <w:sz w:val="20"/>
              </w:rPr>
              <w:t>[5]</w:t>
            </w:r>
            <w:r>
              <w:rPr>
                <w:rFonts w:ascii="Times New Roman" w:hAnsi="Times New Roman"/>
                <w:sz w:val="20"/>
              </w:rPr>
              <w:fldChar w:fldCharType="end"/>
            </w:r>
          </w:p>
          <w:p w:rsidR="0048332A" w:rsidRDefault="008337A7">
            <w:pPr>
              <w:pStyle w:val="TAL"/>
              <w:rPr>
                <w:rFonts w:ascii="Times New Roman" w:hAnsi="Times New Roman"/>
                <w:sz w:val="20"/>
              </w:rPr>
            </w:pPr>
            <w:r>
              <w:rPr>
                <w:rFonts w:ascii="Times New Roman" w:hAnsi="Times New Roman"/>
                <w:sz w:val="20"/>
              </w:rPr>
              <w:t xml:space="preserve">Alt 2: regenerative in 5G NTN </w:t>
            </w:r>
            <w:r>
              <w:rPr>
                <w:rFonts w:ascii="Times New Roman" w:hAnsi="Times New Roman"/>
                <w:sz w:val="20"/>
              </w:rPr>
              <w:fldChar w:fldCharType="begin"/>
            </w:r>
            <w:r>
              <w:rPr>
                <w:rFonts w:ascii="Times New Roman" w:hAnsi="Times New Roman"/>
                <w:sz w:val="20"/>
              </w:rPr>
              <w:instrText xml:space="preserve"> REF _Ref205805153 \r \h  \* MERGEFORMAT </w:instrText>
            </w:r>
            <w:r>
              <w:rPr>
                <w:rFonts w:ascii="Times New Roman" w:hAnsi="Times New Roman"/>
                <w:sz w:val="20"/>
              </w:rPr>
            </w:r>
            <w:r>
              <w:rPr>
                <w:rFonts w:ascii="Times New Roman" w:hAnsi="Times New Roman"/>
                <w:sz w:val="20"/>
              </w:rPr>
              <w:fldChar w:fldCharType="separate"/>
            </w:r>
            <w:r w:rsidR="00FD4494">
              <w:rPr>
                <w:rFonts w:ascii="Times New Roman" w:hAnsi="Times New Roman"/>
                <w:sz w:val="20"/>
              </w:rPr>
              <w:t>[5]</w:t>
            </w:r>
            <w:r>
              <w:rPr>
                <w:rFonts w:ascii="Times New Roman" w:hAnsi="Times New Roman"/>
                <w:sz w:val="20"/>
              </w:rPr>
              <w:fldChar w:fldCharType="end"/>
            </w:r>
          </w:p>
          <w:p w:rsidR="0048332A" w:rsidRDefault="008337A7">
            <w:pPr>
              <w:pStyle w:val="TAL"/>
              <w:rPr>
                <w:rFonts w:ascii="Times New Roman" w:hAnsi="Times New Roman"/>
                <w:sz w:val="20"/>
              </w:rPr>
            </w:pPr>
            <w:r>
              <w:rPr>
                <w:rFonts w:ascii="Times New Roman" w:hAnsi="Times New Roman"/>
                <w:sz w:val="20"/>
              </w:rPr>
              <w:t>Alt 3: transparent with limited onboard processing</w:t>
            </w:r>
          </w:p>
        </w:tc>
      </w:tr>
      <w:tr w:rsidR="0048332A">
        <w:trPr>
          <w:trHeight w:val="20"/>
          <w:jc w:val="center"/>
        </w:trPr>
        <w:tc>
          <w:tcPr>
            <w:tcW w:w="983" w:type="pct"/>
            <w:vMerge w:val="restart"/>
            <w:tcBorders>
              <w:top w:val="single" w:sz="4" w:space="0" w:color="auto"/>
              <w:left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overflowPunct w:val="0"/>
              <w:autoSpaceDE w:val="0"/>
              <w:autoSpaceDN w:val="0"/>
              <w:adjustRightInd w:val="0"/>
              <w:snapToGrid w:val="0"/>
              <w:textAlignment w:val="baseline"/>
              <w:rPr>
                <w:sz w:val="20"/>
              </w:rPr>
            </w:pPr>
            <w:r>
              <w:rPr>
                <w:rFonts w:eastAsia="微软雅黑"/>
                <w:sz w:val="20"/>
                <w:szCs w:val="20"/>
              </w:rPr>
              <w:t>Beam hopping related parameters</w:t>
            </w:r>
          </w:p>
        </w:tc>
        <w:tc>
          <w:tcPr>
            <w:tcW w:w="1061" w:type="pct"/>
            <w:tcBorders>
              <w:top w:val="single" w:sz="4" w:space="0" w:color="auto"/>
              <w:left w:val="single" w:sz="4" w:space="0" w:color="auto"/>
              <w:bottom w:val="single" w:sz="4" w:space="0" w:color="auto"/>
              <w:right w:val="single" w:sz="4" w:space="0" w:color="auto"/>
            </w:tcBorders>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Number of planned footprints</w:t>
            </w:r>
          </w:p>
        </w:tc>
        <w:tc>
          <w:tcPr>
            <w:tcW w:w="295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pStyle w:val="TAL"/>
              <w:rPr>
                <w:rFonts w:ascii="Times New Roman" w:hAnsi="Times New Roman"/>
                <w:sz w:val="20"/>
              </w:rPr>
            </w:pPr>
            <w:r>
              <w:rPr>
                <w:rFonts w:ascii="Times New Roman" w:hAnsi="Times New Roman"/>
                <w:sz w:val="20"/>
              </w:rPr>
              <w:t>1058</w:t>
            </w:r>
          </w:p>
        </w:tc>
      </w:tr>
      <w:tr w:rsidR="0048332A">
        <w:trPr>
          <w:trHeight w:val="20"/>
          <w:jc w:val="center"/>
        </w:trPr>
        <w:tc>
          <w:tcPr>
            <w:tcW w:w="983" w:type="pct"/>
            <w:vMerge/>
            <w:tcBorders>
              <w:left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48332A">
            <w:pPr>
              <w:pStyle w:val="TAL"/>
              <w:jc w:val="center"/>
              <w:rPr>
                <w:rFonts w:ascii="Times New Roman" w:hAnsi="Times New Roman"/>
                <w:sz w:val="20"/>
              </w:rPr>
            </w:pPr>
          </w:p>
        </w:tc>
        <w:tc>
          <w:tcPr>
            <w:tcW w:w="1061" w:type="pct"/>
            <w:tcBorders>
              <w:top w:val="single" w:sz="4" w:space="0" w:color="auto"/>
              <w:left w:val="single" w:sz="4" w:space="0" w:color="auto"/>
              <w:bottom w:val="single" w:sz="4" w:space="0" w:color="auto"/>
              <w:right w:val="single" w:sz="4" w:space="0" w:color="auto"/>
            </w:tcBorders>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Number of simultaneous active beams</w:t>
            </w:r>
          </w:p>
        </w:tc>
        <w:tc>
          <w:tcPr>
            <w:tcW w:w="295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pStyle w:val="TAL"/>
              <w:rPr>
                <w:rFonts w:ascii="Times New Roman" w:hAnsi="Times New Roman"/>
                <w:sz w:val="20"/>
              </w:rPr>
            </w:pPr>
            <w:r>
              <w:rPr>
                <w:rFonts w:ascii="Times New Roman" w:hAnsi="Times New Roman"/>
                <w:sz w:val="20"/>
              </w:rPr>
              <w:t>32/16</w:t>
            </w:r>
          </w:p>
        </w:tc>
      </w:tr>
      <w:tr w:rsidR="0048332A">
        <w:trPr>
          <w:trHeight w:val="20"/>
          <w:jc w:val="center"/>
        </w:trPr>
        <w:tc>
          <w:tcPr>
            <w:tcW w:w="2044" w:type="pct"/>
            <w:gridSpan w:val="2"/>
            <w:tcBorders>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overflowPunct w:val="0"/>
              <w:autoSpaceDE w:val="0"/>
              <w:autoSpaceDN w:val="0"/>
              <w:adjustRightInd w:val="0"/>
              <w:snapToGrid w:val="0"/>
              <w:textAlignment w:val="baseline"/>
              <w:rPr>
                <w:sz w:val="20"/>
              </w:rPr>
            </w:pPr>
            <w:r>
              <w:rPr>
                <w:rFonts w:eastAsia="微软雅黑"/>
                <w:sz w:val="20"/>
                <w:szCs w:val="20"/>
              </w:rPr>
              <w:t>Other parameters</w:t>
            </w:r>
          </w:p>
        </w:tc>
        <w:tc>
          <w:tcPr>
            <w:tcW w:w="2956"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rsidR="0048332A" w:rsidRDefault="008337A7">
            <w:pPr>
              <w:pStyle w:val="TAL"/>
              <w:rPr>
                <w:rFonts w:ascii="Times New Roman" w:hAnsi="Times New Roman"/>
                <w:sz w:val="20"/>
                <w:lang w:eastAsia="zh-CN"/>
              </w:rPr>
            </w:pPr>
            <w:r>
              <w:rPr>
                <w:rFonts w:ascii="Times New Roman" w:hAnsi="Times New Roman"/>
                <w:sz w:val="20"/>
                <w:lang w:eastAsia="zh-CN"/>
              </w:rPr>
              <w:t xml:space="preserve">Assumptions for 5G NTN </w:t>
            </w:r>
            <w:r>
              <w:rPr>
                <w:rFonts w:ascii="Times New Roman" w:hAnsi="Times New Roman"/>
                <w:sz w:val="20"/>
              </w:rPr>
              <w:fldChar w:fldCharType="begin"/>
            </w:r>
            <w:r>
              <w:rPr>
                <w:rFonts w:ascii="Times New Roman" w:hAnsi="Times New Roman"/>
                <w:sz w:val="20"/>
                <w:lang w:eastAsia="zh-CN"/>
              </w:rPr>
              <w:instrText xml:space="preserve"> REF _Ref205805153 \r \h </w:instrText>
            </w:r>
            <w:r>
              <w:rPr>
                <w:rFonts w:ascii="Times New Roman" w:hAnsi="Times New Roman"/>
                <w:sz w:val="20"/>
              </w:rPr>
              <w:instrText xml:space="preserve"> \* MERGEFORMAT </w:instrText>
            </w:r>
            <w:r>
              <w:rPr>
                <w:rFonts w:ascii="Times New Roman" w:hAnsi="Times New Roman"/>
                <w:sz w:val="20"/>
              </w:rPr>
            </w:r>
            <w:r>
              <w:rPr>
                <w:rFonts w:ascii="Times New Roman" w:hAnsi="Times New Roman"/>
                <w:sz w:val="20"/>
              </w:rPr>
              <w:fldChar w:fldCharType="separate"/>
            </w:r>
            <w:r w:rsidR="00FD4494">
              <w:rPr>
                <w:rFonts w:ascii="Times New Roman" w:hAnsi="Times New Roman"/>
                <w:sz w:val="20"/>
                <w:lang w:eastAsia="zh-CN"/>
              </w:rPr>
              <w:t>[5]</w:t>
            </w:r>
            <w:r>
              <w:rPr>
                <w:rFonts w:ascii="Times New Roman" w:hAnsi="Times New Roman"/>
                <w:sz w:val="20"/>
              </w:rPr>
              <w:fldChar w:fldCharType="end"/>
            </w:r>
            <w:r>
              <w:rPr>
                <w:rFonts w:ascii="Times New Roman" w:hAnsi="Times New Roman"/>
                <w:sz w:val="20"/>
              </w:rPr>
              <w:t xml:space="preserve"> are baseline</w:t>
            </w:r>
          </w:p>
        </w:tc>
      </w:tr>
    </w:tbl>
    <w:p w:rsidR="0048332A" w:rsidRDefault="008337A7">
      <w:pPr>
        <w:numPr>
          <w:ilvl w:val="2"/>
          <w:numId w:val="1"/>
        </w:numPr>
        <w:snapToGrid w:val="0"/>
        <w:spacing w:before="240" w:afterLines="50" w:after="120"/>
        <w:jc w:val="both"/>
        <w:outlineLvl w:val="2"/>
        <w:rPr>
          <w:b/>
          <w:szCs w:val="20"/>
        </w:rPr>
      </w:pPr>
      <w:r>
        <w:rPr>
          <w:b/>
          <w:szCs w:val="20"/>
        </w:rPr>
        <w:t xml:space="preserve">Multi-layer heterogeneous network </w:t>
      </w:r>
      <w:r>
        <w:rPr>
          <w:rFonts w:hint="eastAsia"/>
          <w:b/>
          <w:szCs w:val="20"/>
        </w:rPr>
        <w:t>with assisting node</w:t>
      </w:r>
    </w:p>
    <w:p w:rsidR="0048332A" w:rsidRDefault="008337A7">
      <w:pPr>
        <w:adjustRightInd w:val="0"/>
        <w:snapToGrid w:val="0"/>
        <w:spacing w:beforeLines="50" w:before="120" w:afterLines="50" w:after="120"/>
        <w:jc w:val="both"/>
        <w:textAlignment w:val="center"/>
        <w:rPr>
          <w:color w:val="000000"/>
          <w:sz w:val="20"/>
          <w:szCs w:val="20"/>
        </w:rPr>
      </w:pPr>
      <w:r>
        <w:rPr>
          <w:color w:val="000000"/>
          <w:sz w:val="20"/>
          <w:szCs w:val="20"/>
        </w:rPr>
        <w:t xml:space="preserve">For 6G, considering the improvement on network performance (e.g., coverage and cell-edge performance) along with the overall energy consumption, the deployment with more sustainable assisting nodes, including passive/semi-passive nodes, e.g., Reconfigurable intelligent surfaces (RIS), Network-controlled repeater (NCR) can be considered. For example, the </w:t>
      </w:r>
      <w:r>
        <w:rPr>
          <w:rFonts w:hint="eastAsia"/>
          <w:color w:val="000000"/>
          <w:sz w:val="20"/>
          <w:szCs w:val="20"/>
        </w:rPr>
        <w:t>low</w:t>
      </w:r>
      <w:r>
        <w:rPr>
          <w:color w:val="000000"/>
          <w:sz w:val="20"/>
          <w:szCs w:val="20"/>
        </w:rPr>
        <w:t xml:space="preserve"> consumption can be assumed for RIS to enable the deployment with different needs</w:t>
      </w:r>
      <w:r>
        <w:rPr>
          <w:color w:val="000000"/>
          <w:sz w:val="20"/>
          <w:szCs w:val="20"/>
        </w:rPr>
        <w:fldChar w:fldCharType="begin"/>
      </w:r>
      <w:r>
        <w:rPr>
          <w:color w:val="000000"/>
          <w:sz w:val="20"/>
          <w:szCs w:val="20"/>
        </w:rPr>
        <w:instrText xml:space="preserve"> REF _Ref206059760 \r \h </w:instrText>
      </w:r>
      <w:r>
        <w:rPr>
          <w:color w:val="000000"/>
          <w:sz w:val="20"/>
          <w:szCs w:val="20"/>
        </w:rPr>
      </w:r>
      <w:r>
        <w:rPr>
          <w:color w:val="000000"/>
          <w:sz w:val="20"/>
          <w:szCs w:val="20"/>
        </w:rPr>
        <w:fldChar w:fldCharType="separate"/>
      </w:r>
      <w:r w:rsidR="00FD4494">
        <w:rPr>
          <w:color w:val="000000"/>
          <w:sz w:val="20"/>
          <w:szCs w:val="20"/>
        </w:rPr>
        <w:t>[6]</w:t>
      </w:r>
      <w:r>
        <w:rPr>
          <w:color w:val="000000"/>
          <w:sz w:val="20"/>
          <w:szCs w:val="20"/>
        </w:rPr>
        <w:fldChar w:fldCharType="end"/>
      </w:r>
      <w:r>
        <w:rPr>
          <w:color w:val="000000"/>
          <w:sz w:val="20"/>
          <w:szCs w:val="20"/>
        </w:rPr>
        <w:fldChar w:fldCharType="begin"/>
      </w:r>
      <w:r>
        <w:rPr>
          <w:color w:val="000000"/>
          <w:sz w:val="20"/>
          <w:szCs w:val="20"/>
        </w:rPr>
        <w:instrText xml:space="preserve"> REF _Ref206059267 \r \h </w:instrText>
      </w:r>
      <w:r>
        <w:rPr>
          <w:color w:val="000000"/>
          <w:sz w:val="20"/>
          <w:szCs w:val="20"/>
        </w:rPr>
      </w:r>
      <w:r>
        <w:rPr>
          <w:color w:val="000000"/>
          <w:sz w:val="20"/>
          <w:szCs w:val="20"/>
        </w:rPr>
        <w:fldChar w:fldCharType="separate"/>
      </w:r>
      <w:r w:rsidR="00FD4494">
        <w:rPr>
          <w:color w:val="000000"/>
          <w:sz w:val="20"/>
          <w:szCs w:val="20"/>
        </w:rPr>
        <w:t>[7]</w:t>
      </w:r>
      <w:r>
        <w:rPr>
          <w:color w:val="000000"/>
          <w:sz w:val="20"/>
          <w:szCs w:val="20"/>
        </w:rPr>
        <w:fldChar w:fldCharType="end"/>
      </w:r>
      <w:r>
        <w:rPr>
          <w:color w:val="000000"/>
          <w:sz w:val="20"/>
          <w:szCs w:val="20"/>
        </w:rPr>
        <w:fldChar w:fldCharType="begin"/>
      </w:r>
      <w:r>
        <w:rPr>
          <w:color w:val="000000"/>
          <w:sz w:val="20"/>
          <w:szCs w:val="20"/>
        </w:rPr>
        <w:instrText xml:space="preserve"> REF _Ref206059268 \r \h </w:instrText>
      </w:r>
      <w:r>
        <w:rPr>
          <w:color w:val="000000"/>
          <w:sz w:val="20"/>
          <w:szCs w:val="20"/>
        </w:rPr>
      </w:r>
      <w:r>
        <w:rPr>
          <w:color w:val="000000"/>
          <w:sz w:val="20"/>
          <w:szCs w:val="20"/>
        </w:rPr>
        <w:fldChar w:fldCharType="separate"/>
      </w:r>
      <w:r w:rsidR="00FD4494">
        <w:rPr>
          <w:color w:val="000000"/>
          <w:sz w:val="20"/>
          <w:szCs w:val="20"/>
        </w:rPr>
        <w:t>[8]</w:t>
      </w:r>
      <w:r>
        <w:rPr>
          <w:color w:val="000000"/>
          <w:sz w:val="20"/>
          <w:szCs w:val="20"/>
        </w:rPr>
        <w:fldChar w:fldCharType="end"/>
      </w:r>
      <w:r>
        <w:rPr>
          <w:color w:val="000000"/>
          <w:sz w:val="20"/>
          <w:szCs w:val="20"/>
        </w:rPr>
        <w:t xml:space="preserve">. The </w:t>
      </w:r>
      <w:r>
        <w:rPr>
          <w:rFonts w:hint="eastAsia"/>
          <w:color w:val="000000"/>
          <w:sz w:val="20"/>
          <w:szCs w:val="20"/>
        </w:rPr>
        <w:t>detailed</w:t>
      </w:r>
      <w:r>
        <w:rPr>
          <w:color w:val="000000"/>
          <w:sz w:val="20"/>
          <w:szCs w:val="20"/>
        </w:rPr>
        <w:t xml:space="preserve"> evaluation assumptions are listed in Table 2-1-5.</w:t>
      </w:r>
    </w:p>
    <w:p w:rsidR="0048332A" w:rsidRDefault="008337A7">
      <w:pPr>
        <w:adjustRightInd w:val="0"/>
        <w:snapToGrid w:val="0"/>
        <w:spacing w:beforeLines="50" w:before="120" w:afterLines="50" w:after="120"/>
        <w:ind w:firstLineChars="700" w:firstLine="1405"/>
        <w:jc w:val="both"/>
        <w:textAlignment w:val="center"/>
        <w:rPr>
          <w:color w:val="000000"/>
          <w:sz w:val="20"/>
          <w:szCs w:val="20"/>
        </w:rPr>
      </w:pPr>
      <w:r>
        <w:rPr>
          <w:b/>
          <w:color w:val="000000"/>
          <w:sz w:val="20"/>
          <w:szCs w:val="20"/>
        </w:rPr>
        <w:t>Table 2-1-5</w:t>
      </w:r>
      <w:r>
        <w:rPr>
          <w:color w:val="000000"/>
          <w:sz w:val="20"/>
          <w:szCs w:val="20"/>
        </w:rPr>
        <w:t xml:space="preserve"> Assumption for multi-layer heterogeneous network with assisting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48332A">
        <w:trPr>
          <w:jc w:val="center"/>
        </w:trPr>
        <w:tc>
          <w:tcPr>
            <w:tcW w:w="3823" w:type="dxa"/>
            <w:gridSpan w:val="2"/>
            <w:tcBorders>
              <w:bottom w:val="single" w:sz="4" w:space="0" w:color="auto"/>
            </w:tcBorders>
            <w:vAlign w:val="center"/>
          </w:tcPr>
          <w:p w:rsidR="0048332A" w:rsidRDefault="008337A7">
            <w:pPr>
              <w:overflowPunct w:val="0"/>
              <w:autoSpaceDE w:val="0"/>
              <w:autoSpaceDN w:val="0"/>
              <w:adjustRightInd w:val="0"/>
              <w:snapToGrid w:val="0"/>
              <w:spacing w:after="100" w:afterAutospacing="1" w:line="320" w:lineRule="exact"/>
              <w:textAlignment w:val="baseline"/>
              <w:rPr>
                <w:rFonts w:eastAsia="微软雅黑"/>
                <w:sz w:val="20"/>
              </w:rPr>
            </w:pPr>
            <w:r>
              <w:rPr>
                <w:rFonts w:eastAsia="微软雅黑"/>
                <w:b/>
                <w:sz w:val="20"/>
                <w:szCs w:val="20"/>
              </w:rPr>
              <w:t>Parameters</w:t>
            </w:r>
          </w:p>
        </w:tc>
        <w:tc>
          <w:tcPr>
            <w:tcW w:w="5527" w:type="dxa"/>
            <w:tcBorders>
              <w:bottom w:val="single" w:sz="4" w:space="0" w:color="auto"/>
            </w:tcBorders>
            <w:vAlign w:val="center"/>
          </w:tcPr>
          <w:p w:rsidR="0048332A" w:rsidRDefault="008337A7">
            <w:pPr>
              <w:overflowPunct w:val="0"/>
              <w:autoSpaceDE w:val="0"/>
              <w:autoSpaceDN w:val="0"/>
              <w:adjustRightInd w:val="0"/>
              <w:snapToGrid w:val="0"/>
              <w:spacing w:after="100" w:afterAutospacing="1" w:line="320" w:lineRule="exact"/>
              <w:jc w:val="both"/>
              <w:textAlignment w:val="baseline"/>
              <w:rPr>
                <w:rFonts w:eastAsia="微软雅黑"/>
                <w:sz w:val="20"/>
              </w:rPr>
            </w:pPr>
            <w:r>
              <w:rPr>
                <w:rFonts w:eastAsia="微软雅黑"/>
                <w:b/>
                <w:sz w:val="20"/>
                <w:szCs w:val="20"/>
              </w:rPr>
              <w:t>Values or assumptions</w:t>
            </w:r>
          </w:p>
        </w:tc>
      </w:tr>
      <w:tr w:rsidR="0048332A">
        <w:trPr>
          <w:jc w:val="center"/>
        </w:trPr>
        <w:tc>
          <w:tcPr>
            <w:tcW w:w="3823" w:type="dxa"/>
            <w:gridSpan w:val="2"/>
            <w:shd w:val="clear" w:color="auto" w:fill="FFFFFF"/>
            <w:vAlign w:val="center"/>
          </w:tcPr>
          <w:p w:rsidR="0048332A" w:rsidRDefault="008337A7">
            <w:pPr>
              <w:overflowPunct w:val="0"/>
              <w:autoSpaceDE w:val="0"/>
              <w:autoSpaceDN w:val="0"/>
              <w:adjustRightInd w:val="0"/>
              <w:snapToGrid w:val="0"/>
              <w:textAlignment w:val="baseline"/>
              <w:rPr>
                <w:sz w:val="20"/>
              </w:rPr>
            </w:pPr>
            <w:r>
              <w:rPr>
                <w:rFonts w:eastAsia="微软雅黑"/>
                <w:sz w:val="20"/>
                <w:szCs w:val="20"/>
              </w:rPr>
              <w:t>Layout</w:t>
            </w:r>
          </w:p>
        </w:tc>
        <w:tc>
          <w:tcPr>
            <w:tcW w:w="5527" w:type="dxa"/>
            <w:shd w:val="clear" w:color="auto" w:fill="FFFFFF"/>
            <w:vAlign w:val="center"/>
          </w:tcPr>
          <w:p w:rsidR="0048332A" w:rsidRDefault="008337A7">
            <w:pPr>
              <w:pStyle w:val="TAL"/>
              <w:adjustRightInd w:val="0"/>
              <w:snapToGrid w:val="0"/>
              <w:rPr>
                <w:rFonts w:ascii="Times New Roman" w:eastAsiaTheme="minorEastAsia" w:hAnsi="Times New Roman"/>
                <w:sz w:val="20"/>
                <w:lang w:val="en-US" w:eastAsia="zh-CN"/>
              </w:rPr>
            </w:pPr>
            <w:r>
              <w:rPr>
                <w:rFonts w:ascii="Times New Roman" w:eastAsiaTheme="minorEastAsia" w:hAnsi="Times New Roman"/>
                <w:sz w:val="20"/>
                <w:lang w:val="en-US" w:eastAsia="zh-CN"/>
              </w:rPr>
              <w:t>Two layers:</w:t>
            </w:r>
          </w:p>
          <w:p w:rsidR="0048332A"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lang w:val="en-US"/>
              </w:rPr>
            </w:pPr>
            <w:r>
              <w:rPr>
                <w:rFonts w:ascii="Times New Roman" w:eastAsia="微软雅黑" w:hAnsi="Times New Roman"/>
                <w:szCs w:val="20"/>
                <w:lang w:val="en-US"/>
              </w:rPr>
              <w:t xml:space="preserve">Macro or micro </w:t>
            </w:r>
            <w:proofErr w:type="spellStart"/>
            <w:r>
              <w:rPr>
                <w:rFonts w:ascii="Times New Roman" w:eastAsia="微软雅黑" w:hAnsi="Times New Roman"/>
                <w:szCs w:val="20"/>
                <w:lang w:val="en-US"/>
              </w:rPr>
              <w:t>TRxPs</w:t>
            </w:r>
            <w:proofErr w:type="spellEnd"/>
            <w:r>
              <w:rPr>
                <w:rFonts w:ascii="Times New Roman" w:eastAsia="微软雅黑" w:hAnsi="Times New Roman"/>
                <w:szCs w:val="20"/>
                <w:lang w:val="en-US"/>
              </w:rPr>
              <w:t xml:space="preserve"> layers, Hex. Grid</w:t>
            </w:r>
          </w:p>
          <w:p w:rsidR="0048332A"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Theme="minorEastAsia" w:hAnsi="Times New Roman"/>
                <w:lang w:val="en-US"/>
              </w:rPr>
            </w:pPr>
            <w:r>
              <w:rPr>
                <w:rFonts w:ascii="Times New Roman" w:eastAsia="微软雅黑" w:hAnsi="Times New Roman"/>
                <w:szCs w:val="20"/>
                <w:lang w:val="en-US"/>
              </w:rPr>
              <w:t xml:space="preserve">Assisting node layer, dropped assisting nodes randomly or at a fixed distance range from the </w:t>
            </w:r>
            <w:proofErr w:type="spellStart"/>
            <w:r>
              <w:rPr>
                <w:rFonts w:ascii="Times New Roman" w:eastAsia="微软雅黑" w:hAnsi="Times New Roman"/>
                <w:szCs w:val="20"/>
                <w:lang w:val="en-US"/>
              </w:rPr>
              <w:t>TRxP</w:t>
            </w:r>
            <w:proofErr w:type="spellEnd"/>
          </w:p>
        </w:tc>
      </w:tr>
      <w:tr w:rsidR="0048332A">
        <w:trPr>
          <w:jc w:val="center"/>
        </w:trPr>
        <w:tc>
          <w:tcPr>
            <w:tcW w:w="1696" w:type="dxa"/>
            <w:vMerge w:val="restart"/>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 xml:space="preserve">Configuration of the assisting node </w:t>
            </w:r>
          </w:p>
        </w:tc>
        <w:tc>
          <w:tcPr>
            <w:tcW w:w="2127" w:type="dxa"/>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Distribution of assisting nodes</w:t>
            </w:r>
          </w:p>
        </w:tc>
        <w:tc>
          <w:tcPr>
            <w:tcW w:w="5527" w:type="dxa"/>
            <w:shd w:val="clear" w:color="auto" w:fill="FFFFFF"/>
            <w:vAlign w:val="center"/>
          </w:tcPr>
          <w:p w:rsidR="0048332A"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微软雅黑" w:hAnsi="Times New Roman"/>
                <w:lang w:val="en-US"/>
              </w:rPr>
            </w:pPr>
            <w:r>
              <w:rPr>
                <w:rFonts w:ascii="Times New Roman" w:eastAsia="微软雅黑" w:hAnsi="Times New Roman"/>
                <w:szCs w:val="20"/>
                <w:lang w:val="en-US"/>
              </w:rPr>
              <w:t xml:space="preserve">For dense urban scenarios: uniform/macro </w:t>
            </w:r>
            <w:proofErr w:type="spellStart"/>
            <w:r>
              <w:rPr>
                <w:rFonts w:ascii="Times New Roman" w:eastAsia="微软雅黑" w:hAnsi="Times New Roman"/>
                <w:szCs w:val="20"/>
                <w:lang w:val="en-US"/>
              </w:rPr>
              <w:t>TRxPs</w:t>
            </w:r>
            <w:proofErr w:type="spellEnd"/>
            <w:r>
              <w:rPr>
                <w:rFonts w:ascii="Times New Roman" w:eastAsia="微软雅黑" w:hAnsi="Times New Roman"/>
                <w:szCs w:val="20"/>
                <w:lang w:val="en-US"/>
              </w:rPr>
              <w:t>, e.g., 4 assisting nodes per sector;</w:t>
            </w:r>
          </w:p>
          <w:p w:rsidR="0048332A" w:rsidRDefault="008337A7">
            <w:pPr>
              <w:pStyle w:val="ListParagraph"/>
              <w:numPr>
                <w:ilvl w:val="0"/>
                <w:numId w:val="10"/>
              </w:numPr>
              <w:overflowPunct w:val="0"/>
              <w:autoSpaceDE w:val="0"/>
              <w:autoSpaceDN w:val="0"/>
              <w:adjustRightInd w:val="0"/>
              <w:snapToGrid w:val="0"/>
              <w:ind w:leftChars="0" w:left="227" w:hanging="227"/>
              <w:jc w:val="both"/>
              <w:textAlignment w:val="baseline"/>
              <w:rPr>
                <w:rFonts w:ascii="Times New Roman" w:eastAsiaTheme="minorEastAsia" w:hAnsi="Times New Roman"/>
                <w:lang w:val="en-US"/>
              </w:rPr>
            </w:pPr>
            <w:r>
              <w:rPr>
                <w:rFonts w:ascii="Times New Roman" w:eastAsia="微软雅黑" w:hAnsi="Times New Roman"/>
                <w:szCs w:val="20"/>
                <w:lang w:val="en-US"/>
              </w:rPr>
              <w:t>For indoor hotspot scenarios: 100% indoor, e.g., 2 assisting nodes per sector;</w:t>
            </w:r>
          </w:p>
        </w:tc>
      </w:tr>
      <w:tr w:rsidR="0048332A">
        <w:trPr>
          <w:jc w:val="center"/>
        </w:trPr>
        <w:tc>
          <w:tcPr>
            <w:tcW w:w="1696" w:type="dxa"/>
            <w:vMerge/>
            <w:shd w:val="clear" w:color="auto" w:fill="FFFFFF"/>
            <w:vAlign w:val="center"/>
          </w:tcPr>
          <w:p w:rsidR="0048332A" w:rsidRDefault="0048332A">
            <w:pPr>
              <w:pStyle w:val="TAL"/>
              <w:adjustRightInd w:val="0"/>
              <w:snapToGrid w:val="0"/>
              <w:rPr>
                <w:rFonts w:ascii="Times New Roman" w:hAnsi="Times New Roman"/>
                <w:sz w:val="20"/>
                <w:lang w:val="en-US" w:eastAsia="zh-CN"/>
              </w:rPr>
            </w:pPr>
          </w:p>
        </w:tc>
        <w:tc>
          <w:tcPr>
            <w:tcW w:w="2127" w:type="dxa"/>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Antenna configuration of assisting nodes</w:t>
            </w:r>
          </w:p>
        </w:tc>
        <w:tc>
          <w:tcPr>
            <w:tcW w:w="5527" w:type="dxa"/>
            <w:shd w:val="clear" w:color="auto" w:fill="FFFFFF"/>
            <w:vAlign w:val="center"/>
          </w:tcPr>
          <w:p w:rsidR="0048332A" w:rsidRDefault="008337A7">
            <w:pPr>
              <w:pStyle w:val="TAL"/>
              <w:adjustRightInd w:val="0"/>
              <w:snapToGrid w:val="0"/>
              <w:rPr>
                <w:rFonts w:ascii="Times New Roman" w:eastAsiaTheme="minorEastAsia" w:hAnsi="Times New Roman"/>
                <w:sz w:val="20"/>
                <w:lang w:eastAsia="zh-CN"/>
              </w:rPr>
            </w:pPr>
            <w:r>
              <w:rPr>
                <w:rFonts w:ascii="Times New Roman" w:eastAsiaTheme="minorEastAsia" w:hAnsi="Times New Roman"/>
                <w:sz w:val="20"/>
                <w:lang w:eastAsia="zh-CN"/>
              </w:rPr>
              <w:t>2D antenna array</w:t>
            </w:r>
            <w:r>
              <w:rPr>
                <w:rFonts w:ascii="Times New Roman" w:eastAsiaTheme="minorEastAsia" w:hAnsi="Times New Roman"/>
                <w:sz w:val="20"/>
                <w:lang w:val="en-US" w:eastAsia="zh-CN"/>
              </w:rPr>
              <w:t xml:space="preserve"> with the number up to companies’ report</w:t>
            </w:r>
          </w:p>
        </w:tc>
      </w:tr>
      <w:tr w:rsidR="0048332A">
        <w:trPr>
          <w:jc w:val="center"/>
        </w:trPr>
        <w:tc>
          <w:tcPr>
            <w:tcW w:w="1696" w:type="dxa"/>
            <w:vMerge/>
            <w:shd w:val="clear" w:color="auto" w:fill="FFFFFF"/>
            <w:vAlign w:val="center"/>
          </w:tcPr>
          <w:p w:rsidR="0048332A" w:rsidRDefault="0048332A">
            <w:pPr>
              <w:pStyle w:val="TAL"/>
              <w:adjustRightInd w:val="0"/>
              <w:snapToGrid w:val="0"/>
              <w:rPr>
                <w:rFonts w:ascii="Times New Roman" w:hAnsi="Times New Roman"/>
                <w:sz w:val="20"/>
                <w:lang w:val="en-US" w:eastAsia="zh-CN"/>
              </w:rPr>
            </w:pPr>
          </w:p>
        </w:tc>
        <w:tc>
          <w:tcPr>
            <w:tcW w:w="2127" w:type="dxa"/>
            <w:shd w:val="clear" w:color="auto" w:fill="FFFFFF"/>
            <w:vAlign w:val="center"/>
          </w:tcPr>
          <w:p w:rsidR="0048332A" w:rsidRDefault="008337A7">
            <w:pPr>
              <w:overflowPunct w:val="0"/>
              <w:autoSpaceDE w:val="0"/>
              <w:autoSpaceDN w:val="0"/>
              <w:adjustRightInd w:val="0"/>
              <w:snapToGrid w:val="0"/>
              <w:textAlignment w:val="baseline"/>
              <w:rPr>
                <w:rFonts w:eastAsia="微软雅黑"/>
                <w:sz w:val="20"/>
              </w:rPr>
            </w:pPr>
            <w:r>
              <w:rPr>
                <w:rFonts w:eastAsia="微软雅黑"/>
                <w:sz w:val="20"/>
                <w:szCs w:val="20"/>
              </w:rPr>
              <w:t>Power consumption Per Element</w:t>
            </w:r>
          </w:p>
        </w:tc>
        <w:tc>
          <w:tcPr>
            <w:tcW w:w="5527" w:type="dxa"/>
            <w:shd w:val="clear" w:color="auto" w:fill="FFFFFF"/>
            <w:vAlign w:val="center"/>
          </w:tcPr>
          <w:p w:rsidR="0048332A" w:rsidRDefault="008337A7">
            <w:pPr>
              <w:pStyle w:val="TAL"/>
              <w:adjustRightInd w:val="0"/>
              <w:snapToGrid w:val="0"/>
              <w:rPr>
                <w:rFonts w:ascii="Times New Roman" w:eastAsiaTheme="minorEastAsia" w:hAnsi="Times New Roman"/>
                <w:sz w:val="20"/>
                <w:lang w:val="en-US" w:eastAsia="zh-CN"/>
              </w:rPr>
            </w:pPr>
            <w:r>
              <w:rPr>
                <w:rFonts w:ascii="Times New Roman" w:eastAsiaTheme="minorEastAsia" w:hAnsi="Times New Roman"/>
                <w:sz w:val="20"/>
                <w:lang w:val="en-US" w:eastAsia="zh-CN"/>
              </w:rPr>
              <w:t xml:space="preserve">For RIS with </w:t>
            </w:r>
            <w:proofErr w:type="spellStart"/>
            <w:r>
              <w:rPr>
                <w:rFonts w:ascii="Times New Roman" w:eastAsiaTheme="minorEastAsia" w:hAnsi="Times New Roman"/>
                <w:sz w:val="20"/>
                <w:lang w:val="en-US" w:eastAsia="zh-CN"/>
              </w:rPr>
              <w:t>adapative</w:t>
            </w:r>
            <w:proofErr w:type="spellEnd"/>
            <w:r>
              <w:rPr>
                <w:rFonts w:ascii="Times New Roman" w:eastAsiaTheme="minorEastAsia" w:hAnsi="Times New Roman"/>
                <w:sz w:val="20"/>
                <w:lang w:val="en-US" w:eastAsia="zh-CN"/>
              </w:rPr>
              <w:t xml:space="preserve"> beam: 0.4 mw is baseline </w:t>
            </w:r>
            <w:r>
              <w:rPr>
                <w:rFonts w:ascii="Times New Roman" w:eastAsiaTheme="minorEastAsia" w:hAnsi="Times New Roman"/>
                <w:sz w:val="20"/>
                <w:lang w:val="en-US" w:eastAsia="zh-CN"/>
              </w:rPr>
              <w:fldChar w:fldCharType="begin"/>
            </w:r>
            <w:r>
              <w:rPr>
                <w:rFonts w:ascii="Times New Roman" w:eastAsiaTheme="minorEastAsia" w:hAnsi="Times New Roman"/>
                <w:sz w:val="20"/>
                <w:lang w:val="en-US" w:eastAsia="zh-CN"/>
              </w:rPr>
              <w:instrText xml:space="preserve"> REF _Ref206059267 \r \h  \* MERGEFORMAT </w:instrText>
            </w:r>
            <w:r>
              <w:rPr>
                <w:rFonts w:ascii="Times New Roman" w:eastAsiaTheme="minorEastAsia" w:hAnsi="Times New Roman"/>
                <w:sz w:val="20"/>
                <w:lang w:val="en-US" w:eastAsia="zh-CN"/>
              </w:rPr>
            </w:r>
            <w:r>
              <w:rPr>
                <w:rFonts w:ascii="Times New Roman" w:eastAsiaTheme="minorEastAsia" w:hAnsi="Times New Roman"/>
                <w:sz w:val="20"/>
                <w:lang w:val="en-US" w:eastAsia="zh-CN"/>
              </w:rPr>
              <w:fldChar w:fldCharType="separate"/>
            </w:r>
            <w:r w:rsidR="00FD4494">
              <w:rPr>
                <w:rFonts w:ascii="Times New Roman" w:eastAsiaTheme="minorEastAsia" w:hAnsi="Times New Roman"/>
                <w:sz w:val="20"/>
                <w:lang w:val="en-US" w:eastAsia="zh-CN"/>
              </w:rPr>
              <w:t>[7]</w:t>
            </w:r>
            <w:r>
              <w:rPr>
                <w:rFonts w:ascii="Times New Roman" w:eastAsiaTheme="minorEastAsia" w:hAnsi="Times New Roman"/>
                <w:sz w:val="20"/>
                <w:lang w:val="en-US" w:eastAsia="zh-CN"/>
              </w:rPr>
              <w:fldChar w:fldCharType="end"/>
            </w:r>
            <w:r>
              <w:rPr>
                <w:rFonts w:ascii="Times New Roman" w:eastAsiaTheme="minorEastAsia" w:hAnsi="Times New Roman"/>
                <w:sz w:val="20"/>
                <w:lang w:val="en-US" w:eastAsia="zh-CN"/>
              </w:rPr>
              <w:t>.</w:t>
            </w:r>
          </w:p>
          <w:p w:rsidR="0048332A" w:rsidRDefault="008337A7">
            <w:pPr>
              <w:pStyle w:val="TAL"/>
              <w:adjustRightInd w:val="0"/>
              <w:snapToGrid w:val="0"/>
              <w:rPr>
                <w:rFonts w:ascii="Times New Roman" w:eastAsiaTheme="minorEastAsia" w:hAnsi="Times New Roman"/>
                <w:sz w:val="20"/>
                <w:lang w:val="en-US" w:eastAsia="zh-CN"/>
              </w:rPr>
            </w:pPr>
            <w:r>
              <w:rPr>
                <w:rFonts w:ascii="Times New Roman" w:eastAsiaTheme="minorEastAsia" w:hAnsi="Times New Roman"/>
                <w:sz w:val="20"/>
                <w:lang w:val="en-US" w:eastAsia="zh-CN"/>
              </w:rPr>
              <w:t>For RIS with fixed beam: 0 mw.</w:t>
            </w:r>
          </w:p>
          <w:p w:rsidR="0048332A" w:rsidRDefault="008337A7">
            <w:pPr>
              <w:pStyle w:val="TAL"/>
              <w:adjustRightInd w:val="0"/>
              <w:snapToGrid w:val="0"/>
              <w:rPr>
                <w:rFonts w:ascii="Times New Roman" w:eastAsiaTheme="minorEastAsia" w:hAnsi="Times New Roman"/>
                <w:sz w:val="20"/>
                <w:lang w:eastAsia="zh-CN"/>
              </w:rPr>
            </w:pPr>
            <w:r>
              <w:rPr>
                <w:rFonts w:ascii="Times New Roman" w:eastAsiaTheme="minorEastAsia" w:hAnsi="Times New Roman"/>
                <w:sz w:val="20"/>
                <w:lang w:val="en-US" w:eastAsia="zh-CN"/>
              </w:rPr>
              <w:t xml:space="preserve">Other value </w:t>
            </w:r>
            <w:proofErr w:type="gramStart"/>
            <w:r>
              <w:rPr>
                <w:rFonts w:ascii="Times New Roman" w:eastAsiaTheme="minorEastAsia" w:hAnsi="Times New Roman"/>
                <w:sz w:val="20"/>
                <w:lang w:val="en-US" w:eastAsia="zh-CN"/>
              </w:rPr>
              <w:t>are</w:t>
            </w:r>
            <w:proofErr w:type="gramEnd"/>
            <w:r>
              <w:rPr>
                <w:rFonts w:ascii="Times New Roman" w:eastAsiaTheme="minorEastAsia" w:hAnsi="Times New Roman"/>
                <w:sz w:val="20"/>
                <w:lang w:val="en-US" w:eastAsia="zh-CN"/>
              </w:rPr>
              <w:t xml:space="preserve"> not precluded, which is up to companies’ report.</w:t>
            </w:r>
          </w:p>
        </w:tc>
      </w:tr>
      <w:tr w:rsidR="0048332A">
        <w:trPr>
          <w:jc w:val="center"/>
        </w:trPr>
        <w:tc>
          <w:tcPr>
            <w:tcW w:w="3823" w:type="dxa"/>
            <w:gridSpan w:val="2"/>
            <w:shd w:val="clear" w:color="auto" w:fill="FFFFFF"/>
            <w:vAlign w:val="center"/>
          </w:tcPr>
          <w:p w:rsidR="0048332A" w:rsidRDefault="008337A7">
            <w:pPr>
              <w:overflowPunct w:val="0"/>
              <w:autoSpaceDE w:val="0"/>
              <w:autoSpaceDN w:val="0"/>
              <w:adjustRightInd w:val="0"/>
              <w:snapToGrid w:val="0"/>
              <w:textAlignment w:val="baseline"/>
              <w:rPr>
                <w:sz w:val="20"/>
              </w:rPr>
            </w:pPr>
            <w:r>
              <w:rPr>
                <w:rFonts w:eastAsia="微软雅黑"/>
                <w:sz w:val="20"/>
                <w:szCs w:val="20"/>
              </w:rPr>
              <w:t>Other attributes, e.g., attributes related to BS and UE</w:t>
            </w:r>
          </w:p>
        </w:tc>
        <w:tc>
          <w:tcPr>
            <w:tcW w:w="5527" w:type="dxa"/>
            <w:shd w:val="clear" w:color="auto" w:fill="FFFFFF"/>
            <w:vAlign w:val="center"/>
          </w:tcPr>
          <w:p w:rsidR="0048332A" w:rsidRDefault="008337A7">
            <w:pPr>
              <w:pStyle w:val="TAL"/>
              <w:adjustRightInd w:val="0"/>
              <w:snapToGrid w:val="0"/>
              <w:rPr>
                <w:rFonts w:ascii="Times New Roman" w:eastAsiaTheme="minorEastAsia" w:hAnsi="Times New Roman"/>
                <w:sz w:val="20"/>
                <w:highlight w:val="yellow"/>
                <w:lang w:val="en-US" w:eastAsia="zh-CN"/>
              </w:rPr>
            </w:pPr>
            <w:r>
              <w:rPr>
                <w:rFonts w:ascii="Times New Roman" w:eastAsiaTheme="minorEastAsia" w:hAnsi="Times New Roman"/>
                <w:sz w:val="20"/>
                <w:lang w:val="en-US" w:eastAsia="zh-CN"/>
              </w:rPr>
              <w:t>Same as the value for basic deployment scenarios</w:t>
            </w:r>
          </w:p>
        </w:tc>
      </w:tr>
    </w:tbl>
    <w:p w:rsidR="0048332A" w:rsidRDefault="0048332A">
      <w:pPr>
        <w:adjustRightInd w:val="0"/>
        <w:snapToGrid w:val="0"/>
        <w:spacing w:beforeLines="50" w:before="120" w:afterLines="50" w:after="120"/>
        <w:jc w:val="both"/>
        <w:textAlignment w:val="center"/>
        <w:rPr>
          <w:color w:val="000000"/>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699"/>
      </w:tblGrid>
      <w:tr w:rsidR="0048332A">
        <w:tc>
          <w:tcPr>
            <w:tcW w:w="4651" w:type="dxa"/>
          </w:tcPr>
          <w:p w:rsidR="0048332A" w:rsidRDefault="008337A7">
            <w:pPr>
              <w:adjustRightInd w:val="0"/>
              <w:snapToGrid w:val="0"/>
              <w:spacing w:beforeLines="50" w:before="120" w:after="50"/>
              <w:jc w:val="right"/>
              <w:rPr>
                <w:sz w:val="20"/>
                <w:szCs w:val="20"/>
              </w:rPr>
            </w:pPr>
            <w:r>
              <w:rPr>
                <w:noProof/>
                <w:sz w:val="20"/>
                <w:szCs w:val="20"/>
              </w:rPr>
              <w:lastRenderedPageBreak/>
              <w:drawing>
                <wp:inline distT="0" distB="0" distL="114300" distR="114300">
                  <wp:extent cx="2317115" cy="1800225"/>
                  <wp:effectExtent l="0" t="0" r="6985" b="952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9"/>
                          <a:stretch>
                            <a:fillRect/>
                          </a:stretch>
                        </pic:blipFill>
                        <pic:spPr>
                          <a:xfrm>
                            <a:off x="0" y="0"/>
                            <a:ext cx="2324035" cy="1805673"/>
                          </a:xfrm>
                          <a:prstGeom prst="rect">
                            <a:avLst/>
                          </a:prstGeom>
                          <a:noFill/>
                          <a:ln>
                            <a:noFill/>
                          </a:ln>
                        </pic:spPr>
                      </pic:pic>
                    </a:graphicData>
                  </a:graphic>
                </wp:inline>
              </w:drawing>
            </w:r>
          </w:p>
        </w:tc>
        <w:tc>
          <w:tcPr>
            <w:tcW w:w="4699" w:type="dxa"/>
          </w:tcPr>
          <w:p w:rsidR="0048332A" w:rsidRDefault="008337A7">
            <w:pPr>
              <w:adjustRightInd w:val="0"/>
              <w:snapToGrid w:val="0"/>
              <w:spacing w:beforeLines="50" w:before="120" w:after="50"/>
              <w:rPr>
                <w:sz w:val="20"/>
                <w:szCs w:val="20"/>
              </w:rPr>
            </w:pPr>
            <w:r>
              <w:rPr>
                <w:noProof/>
                <w:sz w:val="20"/>
                <w:szCs w:val="20"/>
              </w:rPr>
              <w:drawing>
                <wp:inline distT="0" distB="0" distL="114300" distR="114300">
                  <wp:extent cx="2291080" cy="1788160"/>
                  <wp:effectExtent l="0" t="0" r="0" b="254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0"/>
                          <a:stretch>
                            <a:fillRect/>
                          </a:stretch>
                        </pic:blipFill>
                        <pic:spPr>
                          <a:xfrm>
                            <a:off x="0" y="0"/>
                            <a:ext cx="2296647" cy="1792418"/>
                          </a:xfrm>
                          <a:prstGeom prst="rect">
                            <a:avLst/>
                          </a:prstGeom>
                          <a:noFill/>
                          <a:ln>
                            <a:noFill/>
                          </a:ln>
                        </pic:spPr>
                      </pic:pic>
                    </a:graphicData>
                  </a:graphic>
                </wp:inline>
              </w:drawing>
            </w:r>
          </w:p>
        </w:tc>
      </w:tr>
    </w:tbl>
    <w:p w:rsidR="0048332A" w:rsidRDefault="008337A7">
      <w:pPr>
        <w:overflowPunct w:val="0"/>
        <w:autoSpaceDE w:val="0"/>
        <w:autoSpaceDN w:val="0"/>
        <w:adjustRightInd w:val="0"/>
        <w:spacing w:beforeLines="50" w:before="120" w:after="120" w:line="300" w:lineRule="auto"/>
        <w:jc w:val="center"/>
        <w:textAlignment w:val="baseline"/>
        <w:rPr>
          <w:rFonts w:eastAsia="Malgun Gothic"/>
          <w:sz w:val="20"/>
          <w:lang w:eastAsia="ko-KR"/>
        </w:rPr>
      </w:pPr>
      <w:r>
        <w:rPr>
          <w:rFonts w:eastAsiaTheme="minorEastAsia"/>
          <w:b/>
          <w:sz w:val="20"/>
        </w:rPr>
        <w:t>Figure 2-1-3</w:t>
      </w:r>
      <w:r>
        <w:rPr>
          <w:rFonts w:eastAsiaTheme="minorEastAsia"/>
          <w:sz w:val="20"/>
        </w:rPr>
        <w:t xml:space="preserve"> I</w:t>
      </w:r>
      <w:r>
        <w:rPr>
          <w:rFonts w:eastAsiaTheme="minorEastAsia" w:hint="eastAsia"/>
          <w:sz w:val="20"/>
        </w:rPr>
        <w:t>llustration</w:t>
      </w:r>
      <w:r>
        <w:rPr>
          <w:rFonts w:eastAsiaTheme="minorEastAsia"/>
          <w:sz w:val="20"/>
        </w:rPr>
        <w:t xml:space="preserve"> of the distribution of assisting node</w:t>
      </w:r>
    </w:p>
    <w:p w:rsidR="0048332A" w:rsidRDefault="008337A7">
      <w:pPr>
        <w:adjustRightInd w:val="0"/>
        <w:snapToGrid w:val="0"/>
        <w:spacing w:beforeLines="50" w:before="120" w:afterLines="50" w:after="120"/>
        <w:jc w:val="both"/>
        <w:textAlignment w:val="center"/>
        <w:rPr>
          <w:color w:val="000000"/>
          <w:sz w:val="20"/>
          <w:szCs w:val="20"/>
        </w:rPr>
      </w:pPr>
      <w:r>
        <w:rPr>
          <w:color w:val="000000"/>
          <w:sz w:val="20"/>
          <w:szCs w:val="20"/>
        </w:rPr>
        <w:t xml:space="preserve">More specifically, </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 xml:space="preserve">Regarding the layout, the assisting node layer includes multiple assisting nodes (e.g., RIS nodes), which can be dropped randomly or at a fixed distance range from the </w:t>
      </w:r>
      <w:proofErr w:type="spellStart"/>
      <w:r w:rsidRPr="00E2221F">
        <w:rPr>
          <w:rFonts w:ascii="Times New Roman" w:eastAsia="Malgun Gothic" w:hAnsi="Times New Roman"/>
          <w:lang w:eastAsia="ko-KR"/>
        </w:rPr>
        <w:t>TRxP</w:t>
      </w:r>
      <w:proofErr w:type="spellEnd"/>
      <w:r w:rsidRPr="00E2221F">
        <w:rPr>
          <w:rFonts w:ascii="Times New Roman" w:eastAsia="Malgun Gothic" w:hAnsi="Times New Roman"/>
          <w:lang w:eastAsia="ko-KR"/>
        </w:rPr>
        <w:t xml:space="preserve"> as shown in Figure 2-1-3.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w:t>
      </w:r>
      <w:proofErr w:type="spellStart"/>
      <w:r w:rsidRPr="00E2221F">
        <w:rPr>
          <w:rFonts w:ascii="Times New Roman" w:eastAsia="Malgun Gothic" w:hAnsi="Times New Roman"/>
          <w:lang w:eastAsia="ko-KR"/>
        </w:rPr>
        <w:t>TRxPs</w:t>
      </w:r>
      <w:proofErr w:type="spellEnd"/>
      <w:r w:rsidRPr="00E2221F">
        <w:rPr>
          <w:rFonts w:ascii="Times New Roman" w:eastAsia="Malgun Gothic" w:hAnsi="Times New Roman"/>
          <w:lang w:eastAsia="ko-KR"/>
        </w:rPr>
        <w:t>.</w:t>
      </w:r>
    </w:p>
    <w:p w:rsidR="0048332A" w:rsidRPr="00E2221F" w:rsidRDefault="008337A7">
      <w:pPr>
        <w:pStyle w:val="ListParagraph"/>
        <w:numPr>
          <w:ilvl w:val="0"/>
          <w:numId w:val="10"/>
        </w:numPr>
        <w:overflowPunct w:val="0"/>
        <w:autoSpaceDE w:val="0"/>
        <w:autoSpaceDN w:val="0"/>
        <w:adjustRightInd w:val="0"/>
        <w:snapToGrid w:val="0"/>
        <w:spacing w:beforeLines="50" w:before="120" w:afterLines="50" w:after="120"/>
        <w:ind w:leftChars="0"/>
        <w:jc w:val="both"/>
        <w:textAlignment w:val="baseline"/>
        <w:rPr>
          <w:rFonts w:ascii="Times New Roman" w:eastAsia="Malgun Gothic" w:hAnsi="Times New Roman"/>
          <w:lang w:eastAsia="ko-KR"/>
        </w:rPr>
      </w:pPr>
      <w:r w:rsidRPr="00E2221F">
        <w:rPr>
          <w:rFonts w:ascii="Times New Roman" w:eastAsia="Malgun Gothic" w:hAnsi="Times New Roman"/>
          <w:lang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p>
    <w:p w:rsidR="0048332A" w:rsidRDefault="008337A7">
      <w:pPr>
        <w:adjustRightInd w:val="0"/>
        <w:snapToGrid w:val="0"/>
        <w:spacing w:before="50" w:after="50"/>
        <w:jc w:val="both"/>
        <w:rPr>
          <w:i/>
          <w:sz w:val="20"/>
          <w:szCs w:val="20"/>
        </w:rPr>
      </w:pPr>
      <w:r>
        <w:rPr>
          <w:b/>
          <w:bCs/>
          <w:i/>
          <w:iCs/>
          <w:sz w:val="20"/>
          <w:szCs w:val="20"/>
        </w:rPr>
        <w:t xml:space="preserve">Proposal 2-1-5: </w:t>
      </w:r>
      <w:r>
        <w:rPr>
          <w:i/>
          <w:sz w:val="20"/>
          <w:szCs w:val="20"/>
        </w:rPr>
        <w:t>For 6G study, the evaluation assumptions listed in Table 2-1-5 is recommended for performance evaluation.</w:t>
      </w:r>
    </w:p>
    <w:p w:rsidR="0048332A" w:rsidRDefault="008337A7">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Antenna modeling</w:t>
      </w:r>
    </w:p>
    <w:p w:rsidR="0048332A" w:rsidRDefault="008337A7">
      <w:pPr>
        <w:numPr>
          <w:ilvl w:val="2"/>
          <w:numId w:val="1"/>
        </w:numPr>
        <w:snapToGrid w:val="0"/>
        <w:spacing w:before="240" w:afterLines="50" w:after="120"/>
        <w:jc w:val="both"/>
        <w:outlineLvl w:val="2"/>
        <w:rPr>
          <w:b/>
          <w:szCs w:val="28"/>
        </w:rPr>
      </w:pPr>
      <w:r>
        <w:rPr>
          <w:b/>
          <w:szCs w:val="28"/>
        </w:rPr>
        <w:t>BS antenna modeling</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szCs w:val="20"/>
          <w:lang w:eastAsia="ko-KR"/>
        </w:rPr>
      </w:pPr>
      <w:r>
        <w:rPr>
          <w:rFonts w:eastAsia="Malgun Gothic"/>
          <w:sz w:val="20"/>
          <w:szCs w:val="20"/>
          <w:lang w:eastAsia="ko-KR"/>
        </w:rPr>
        <w:t xml:space="preserve">As stated in </w:t>
      </w:r>
      <w:r>
        <w:rPr>
          <w:rFonts w:eastAsia="Malgun Gothic"/>
          <w:sz w:val="20"/>
          <w:szCs w:val="20"/>
          <w:lang w:eastAsia="ko-KR"/>
        </w:rPr>
        <w:fldChar w:fldCharType="begin"/>
      </w:r>
      <w:r>
        <w:rPr>
          <w:rFonts w:eastAsia="Malgun Gothic"/>
          <w:sz w:val="20"/>
          <w:szCs w:val="20"/>
          <w:lang w:eastAsia="ko-KR"/>
        </w:rPr>
        <w:instrText xml:space="preserve"> REF _Ref205826862 \r \h </w:instrText>
      </w:r>
      <w:r>
        <w:rPr>
          <w:rFonts w:eastAsia="Malgun Gothic"/>
          <w:sz w:val="20"/>
          <w:szCs w:val="20"/>
          <w:lang w:eastAsia="ko-KR"/>
        </w:rPr>
      </w:r>
      <w:r>
        <w:rPr>
          <w:rFonts w:eastAsia="Malgun Gothic"/>
          <w:sz w:val="20"/>
          <w:szCs w:val="20"/>
          <w:lang w:eastAsia="ko-KR"/>
        </w:rPr>
        <w:fldChar w:fldCharType="separate"/>
      </w:r>
      <w:r w:rsidR="00FD4494">
        <w:rPr>
          <w:rFonts w:eastAsia="Malgun Gothic"/>
          <w:sz w:val="20"/>
          <w:szCs w:val="20"/>
          <w:lang w:eastAsia="ko-KR"/>
        </w:rPr>
        <w:t>[1]</w:t>
      </w:r>
      <w:r>
        <w:rPr>
          <w:rFonts w:eastAsia="Malgun Gothic"/>
          <w:sz w:val="20"/>
          <w:szCs w:val="20"/>
          <w:lang w:eastAsia="ko-KR"/>
        </w:rPr>
        <w:fldChar w:fldCharType="end"/>
      </w:r>
      <w:r>
        <w:rPr>
          <w:rFonts w:eastAsia="Malgun Gothic"/>
          <w:sz w:val="20"/>
          <w:szCs w:val="20"/>
          <w:lang w:eastAsia="ko-KR"/>
        </w:rPr>
        <w:t>, 6GR is expected to reuse the existing 5G mid-band (~3.5GHz) site grid for 6G deployments at approximately 7GHz, targeting coverage comparable to 5G mid-band. For example, compared to 3.5GHz, 7GHz experiences an additional 6.02dB of path loss and 4.85dB of penetration loss (under high-loss model). Adding the 4.0dB extra loss measured in the field yields a total compensation requirement of about 14.9dB.</w:t>
      </w:r>
    </w:p>
    <w:p w:rsidR="0048332A" w:rsidRDefault="008337A7">
      <w:pPr>
        <w:overflowPunct w:val="0"/>
        <w:autoSpaceDE w:val="0"/>
        <w:autoSpaceDN w:val="0"/>
        <w:adjustRightInd w:val="0"/>
        <w:spacing w:beforeLines="50" w:before="120" w:after="120" w:line="300" w:lineRule="auto"/>
        <w:jc w:val="center"/>
        <w:textAlignment w:val="baseline"/>
        <w:rPr>
          <w:sz w:val="20"/>
          <w:szCs w:val="20"/>
        </w:rPr>
      </w:pPr>
      <w:r>
        <w:rPr>
          <w:noProof/>
        </w:rPr>
        <w:drawing>
          <wp:inline distT="0" distB="0" distL="0" distR="0">
            <wp:extent cx="2214245" cy="2342515"/>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1"/>
                    <a:stretch>
                      <a:fillRect/>
                    </a:stretch>
                  </pic:blipFill>
                  <pic:spPr>
                    <a:xfrm>
                      <a:off x="0" y="0"/>
                      <a:ext cx="2231408" cy="2361097"/>
                    </a:xfrm>
                    <a:prstGeom prst="rect">
                      <a:avLst/>
                    </a:prstGeom>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sz w:val="20"/>
          <w:szCs w:val="20"/>
        </w:rPr>
      </w:pPr>
      <w:r>
        <w:rPr>
          <w:rFonts w:hint="eastAsia"/>
          <w:b/>
          <w:sz w:val="20"/>
          <w:szCs w:val="20"/>
        </w:rPr>
        <w:t xml:space="preserve">Figure </w:t>
      </w:r>
      <w:r>
        <w:rPr>
          <w:b/>
          <w:sz w:val="20"/>
          <w:szCs w:val="20"/>
        </w:rPr>
        <w:t>2-2-1</w:t>
      </w:r>
      <w:r>
        <w:rPr>
          <w:sz w:val="20"/>
          <w:szCs w:val="20"/>
        </w:rPr>
        <w:t xml:space="preserve"> Typical antenna array for 3.5GHz and 7GHz</w:t>
      </w:r>
    </w:p>
    <w:p w:rsidR="0048332A" w:rsidRDefault="008337A7">
      <w:pPr>
        <w:overflowPunct w:val="0"/>
        <w:autoSpaceDE w:val="0"/>
        <w:autoSpaceDN w:val="0"/>
        <w:adjustRightInd w:val="0"/>
        <w:spacing w:beforeLines="50" w:before="120" w:afterLines="50" w:after="120"/>
        <w:jc w:val="both"/>
        <w:textAlignment w:val="baseline"/>
        <w:rPr>
          <w:rFonts w:eastAsia="Malgun Gothic"/>
          <w:sz w:val="20"/>
          <w:szCs w:val="20"/>
          <w:lang w:eastAsia="ko-KR"/>
        </w:rPr>
      </w:pPr>
      <w:r>
        <w:rPr>
          <w:rFonts w:eastAsia="Malgun Gothic"/>
          <w:sz w:val="20"/>
          <w:szCs w:val="20"/>
          <w:lang w:eastAsia="ko-KR"/>
        </w:rPr>
        <w:lastRenderedPageBreak/>
        <w:t xml:space="preserve">Ultra-massive MIMO can be considered a key technology to ensure sufficient link budget, and BS equipped with 1536 or 2048 antenna elements should be evaluated. Furthermore, the uniform planar array denoted as </w:t>
      </w:r>
      <w:r>
        <w:rPr>
          <w:rFonts w:eastAsia="微软雅黑"/>
          <w:sz w:val="20"/>
          <w:szCs w:val="20"/>
        </w:rPr>
        <w:t>(M, N, P, M</w:t>
      </w:r>
      <w:r>
        <w:rPr>
          <w:rFonts w:eastAsia="微软雅黑"/>
          <w:sz w:val="20"/>
          <w:szCs w:val="20"/>
          <w:vertAlign w:val="subscript"/>
        </w:rPr>
        <w:t>g</w:t>
      </w:r>
      <w:r>
        <w:rPr>
          <w:rFonts w:eastAsia="微软雅黑"/>
          <w:sz w:val="20"/>
          <w:szCs w:val="20"/>
        </w:rPr>
        <w:t>, N</w:t>
      </w:r>
      <w:r>
        <w:rPr>
          <w:rFonts w:eastAsia="微软雅黑"/>
          <w:sz w:val="20"/>
          <w:szCs w:val="20"/>
          <w:vertAlign w:val="subscript"/>
        </w:rPr>
        <w:t>g</w:t>
      </w:r>
      <w:r>
        <w:rPr>
          <w:rFonts w:eastAsia="微软雅黑" w:hint="eastAsia"/>
          <w:sz w:val="20"/>
          <w:szCs w:val="20"/>
        </w:rPr>
        <w:t>;</w:t>
      </w:r>
      <w:r>
        <w:rPr>
          <w:rFonts w:eastAsia="微软雅黑"/>
          <w:sz w:val="20"/>
          <w:szCs w:val="20"/>
        </w:rPr>
        <w:t xml:space="preserve"> </w:t>
      </w:r>
      <w:proofErr w:type="spellStart"/>
      <w:r>
        <w:rPr>
          <w:rFonts w:eastAsia="微软雅黑"/>
          <w:sz w:val="20"/>
          <w:szCs w:val="20"/>
        </w:rPr>
        <w:t>M</w:t>
      </w:r>
      <w:r>
        <w:rPr>
          <w:rFonts w:eastAsia="微软雅黑" w:hint="eastAsia"/>
          <w:sz w:val="20"/>
          <w:szCs w:val="20"/>
          <w:vertAlign w:val="subscript"/>
        </w:rPr>
        <w:t>p</w:t>
      </w:r>
      <w:proofErr w:type="spellEnd"/>
      <w:r>
        <w:rPr>
          <w:rFonts w:eastAsia="微软雅黑"/>
          <w:sz w:val="20"/>
          <w:szCs w:val="20"/>
        </w:rPr>
        <w:t>, N</w:t>
      </w:r>
      <w:r>
        <w:rPr>
          <w:rFonts w:eastAsia="微软雅黑" w:hint="eastAsia"/>
          <w:sz w:val="20"/>
          <w:szCs w:val="20"/>
          <w:vertAlign w:val="subscript"/>
        </w:rPr>
        <w:t>p</w:t>
      </w:r>
      <w:r>
        <w:rPr>
          <w:rFonts w:eastAsia="微软雅黑"/>
          <w:sz w:val="20"/>
          <w:szCs w:val="20"/>
        </w:rPr>
        <w:t>),</w:t>
      </w:r>
      <w:r>
        <w:rPr>
          <w:rFonts w:eastAsia="Malgun Gothic" w:hint="eastAsia"/>
          <w:sz w:val="20"/>
          <w:szCs w:val="20"/>
          <w:lang w:eastAsia="ko-KR"/>
        </w:rPr>
        <w:t xml:space="preserve"> along with the radiation </w:t>
      </w:r>
      <w:r>
        <w:rPr>
          <w:rFonts w:hint="eastAsia"/>
          <w:color w:val="000000"/>
          <w:sz w:val="20"/>
          <w:szCs w:val="20"/>
        </w:rPr>
        <w:t>patterns</w:t>
      </w:r>
      <w:r>
        <w:rPr>
          <w:rFonts w:eastAsia="Malgun Gothic" w:hint="eastAsia"/>
          <w:sz w:val="20"/>
          <w:szCs w:val="20"/>
          <w:lang w:eastAsia="ko-KR"/>
        </w:rPr>
        <w:t xml:space="preserve"> defined </w:t>
      </w:r>
      <w:r>
        <w:rPr>
          <w:rFonts w:eastAsia="Malgun Gothic"/>
          <w:sz w:val="20"/>
          <w:szCs w:val="20"/>
          <w:lang w:eastAsia="ko-KR"/>
        </w:rPr>
        <w:t xml:space="preserve">in NR </w:t>
      </w:r>
      <w:r>
        <w:rPr>
          <w:rFonts w:eastAsia="Malgun Gothic"/>
          <w:sz w:val="20"/>
          <w:szCs w:val="20"/>
          <w:lang w:eastAsia="ko-KR"/>
        </w:rPr>
        <w:fldChar w:fldCharType="begin"/>
      </w:r>
      <w:r>
        <w:rPr>
          <w:rFonts w:eastAsia="Malgun Gothic"/>
          <w:sz w:val="20"/>
          <w:szCs w:val="20"/>
          <w:lang w:eastAsia="ko-KR"/>
        </w:rPr>
        <w:instrText xml:space="preserve"> REF _Ref205826948 \r \h </w:instrText>
      </w:r>
      <w:r>
        <w:rPr>
          <w:rFonts w:eastAsia="Malgun Gothic"/>
          <w:sz w:val="20"/>
          <w:szCs w:val="20"/>
          <w:lang w:eastAsia="ko-KR"/>
        </w:rPr>
      </w:r>
      <w:r>
        <w:rPr>
          <w:rFonts w:eastAsia="Malgun Gothic"/>
          <w:sz w:val="20"/>
          <w:szCs w:val="20"/>
          <w:lang w:eastAsia="ko-KR"/>
        </w:rPr>
        <w:fldChar w:fldCharType="separate"/>
      </w:r>
      <w:r w:rsidR="00FD4494">
        <w:rPr>
          <w:rFonts w:eastAsia="Malgun Gothic"/>
          <w:sz w:val="20"/>
          <w:szCs w:val="20"/>
          <w:lang w:eastAsia="ko-KR"/>
        </w:rPr>
        <w:t>[4]</w:t>
      </w:r>
      <w:r>
        <w:rPr>
          <w:rFonts w:eastAsia="Malgun Gothic"/>
          <w:sz w:val="20"/>
          <w:szCs w:val="20"/>
          <w:lang w:eastAsia="ko-KR"/>
        </w:rPr>
        <w:fldChar w:fldCharType="end"/>
      </w:r>
      <w:r>
        <w:rPr>
          <w:rFonts w:eastAsia="Malgun Gothic"/>
          <w:sz w:val="20"/>
          <w:szCs w:val="20"/>
          <w:lang w:eastAsia="ko-KR"/>
        </w:rPr>
        <w:t>, can be reused in 6G discussions. Figure 2-2-1 illustrates an example of a candidate antenna array at 7GHz.</w:t>
      </w:r>
    </w:p>
    <w:p w:rsidR="0048332A" w:rsidRDefault="008337A7">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When the BS deploys larger aperture arrays, more and more UEs may be located in the near-field region. To more accurately characterize the wireless channel, the near-field channel model from Rel-19 should be evaluated (at least spherical wave characteristics at the BS side should be considered), replacing the previous plane wave channel. Under near-field effects, advanced CSI-acquisition scheme can bring distinct performance gains over legacy schemes (e.g., 5G-NR Type-I/II CSI codebook).</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 xml:space="preserve">For example, considering the simulation assumptions for generating near-field channels in Table 7.8-7 of TR 38.901 V19.0.0 </w:t>
      </w:r>
      <w:r>
        <w:rPr>
          <w:rFonts w:ascii="Times New Roman" w:hAnsi="Times New Roman"/>
          <w:szCs w:val="20"/>
        </w:rPr>
        <w:fldChar w:fldCharType="begin"/>
      </w:r>
      <w:r>
        <w:rPr>
          <w:rFonts w:ascii="Times New Roman" w:hAnsi="Times New Roman"/>
          <w:szCs w:val="20"/>
        </w:rPr>
        <w:instrText xml:space="preserve"> REF _Ref205826948 \r \h </w:instrText>
      </w:r>
      <w:r>
        <w:rPr>
          <w:rFonts w:ascii="Times New Roman" w:hAnsi="Times New Roman"/>
          <w:szCs w:val="20"/>
        </w:rPr>
      </w:r>
      <w:r>
        <w:rPr>
          <w:rFonts w:ascii="Times New Roman" w:hAnsi="Times New Roman"/>
          <w:szCs w:val="20"/>
        </w:rPr>
        <w:fldChar w:fldCharType="separate"/>
      </w:r>
      <w:r w:rsidR="00FD4494">
        <w:rPr>
          <w:rFonts w:ascii="Times New Roman" w:hAnsi="Times New Roman"/>
          <w:szCs w:val="20"/>
        </w:rPr>
        <w:t>[4]</w:t>
      </w:r>
      <w:r>
        <w:rPr>
          <w:rFonts w:ascii="Times New Roman" w:hAnsi="Times New Roman"/>
          <w:szCs w:val="20"/>
        </w:rPr>
        <w:fldChar w:fldCharType="end"/>
      </w:r>
      <w:r>
        <w:rPr>
          <w:rFonts w:ascii="Times New Roman" w:hAnsi="Times New Roman"/>
          <w:szCs w:val="20"/>
        </w:rPr>
        <w:t xml:space="preserve">, in the </w:t>
      </w:r>
      <w:proofErr w:type="spellStart"/>
      <w:r>
        <w:rPr>
          <w:rFonts w:ascii="Times New Roman" w:hAnsi="Times New Roman"/>
          <w:szCs w:val="20"/>
        </w:rPr>
        <w:t>UMi</w:t>
      </w:r>
      <w:proofErr w:type="spellEnd"/>
      <w:r>
        <w:rPr>
          <w:rFonts w:ascii="Times New Roman" w:hAnsi="Times New Roman"/>
          <w:szCs w:val="20"/>
        </w:rPr>
        <w:t xml:space="preserve">-street canyon scenario with antenna array configuration </w:t>
      </w:r>
      <w:r>
        <w:rPr>
          <w:rFonts w:ascii="Times New Roman" w:eastAsia="微软雅黑" w:hAnsi="Times New Roman"/>
          <w:szCs w:val="20"/>
        </w:rPr>
        <w:t>(M, N, P, M</w:t>
      </w:r>
      <w:r>
        <w:rPr>
          <w:rFonts w:ascii="Times New Roman" w:eastAsia="微软雅黑" w:hAnsi="Times New Roman"/>
          <w:szCs w:val="20"/>
          <w:vertAlign w:val="subscript"/>
        </w:rPr>
        <w:t>g</w:t>
      </w:r>
      <w:r>
        <w:rPr>
          <w:rFonts w:ascii="Times New Roman" w:eastAsia="微软雅黑" w:hAnsi="Times New Roman"/>
          <w:szCs w:val="20"/>
        </w:rPr>
        <w:t>, N</w:t>
      </w:r>
      <w:r>
        <w:rPr>
          <w:rFonts w:ascii="Times New Roman" w:eastAsia="微软雅黑" w:hAnsi="Times New Roman"/>
          <w:szCs w:val="20"/>
          <w:vertAlign w:val="subscript"/>
        </w:rPr>
        <w:t>g</w:t>
      </w:r>
      <w:r>
        <w:rPr>
          <w:rFonts w:ascii="Times New Roman" w:hAnsi="Times New Roman"/>
          <w:szCs w:val="20"/>
        </w:rPr>
        <w:t xml:space="preserve">; </w:t>
      </w:r>
      <w:proofErr w:type="spellStart"/>
      <w:r>
        <w:rPr>
          <w:rFonts w:ascii="Times New Roman" w:hAnsi="Times New Roman"/>
          <w:szCs w:val="20"/>
        </w:rPr>
        <w:t>Mp</w:t>
      </w:r>
      <w:proofErr w:type="spellEnd"/>
      <w:r>
        <w:rPr>
          <w:rFonts w:ascii="Times New Roman" w:hAnsi="Times New Roman"/>
          <w:szCs w:val="20"/>
        </w:rPr>
        <w:t>, Np</w:t>
      </w:r>
      <w:r>
        <w:rPr>
          <w:rFonts w:ascii="Times New Roman" w:eastAsia="微软雅黑" w:hAnsi="Times New Roman"/>
          <w:szCs w:val="20"/>
        </w:rPr>
        <w:t xml:space="preserve">) </w:t>
      </w:r>
      <w:r>
        <w:rPr>
          <w:rFonts w:ascii="Times New Roman" w:hAnsi="Times New Roman"/>
          <w:szCs w:val="20"/>
        </w:rPr>
        <w:t>= (64, 16, 2, 1, 1</w:t>
      </w:r>
      <w:r>
        <w:rPr>
          <w:rFonts w:ascii="Times New Roman" w:eastAsia="宋体" w:hAnsi="Times New Roman"/>
          <w:szCs w:val="20"/>
          <w:lang w:val="en-US"/>
        </w:rPr>
        <w:t>; 16, 16</w:t>
      </w:r>
      <w:r>
        <w:rPr>
          <w:rFonts w:ascii="Times New Roman" w:hAnsi="Times New Roman"/>
          <w:szCs w:val="20"/>
        </w:rPr>
        <w:t>) and assuming single-antenna UEs, Figure 2-2-2 shows that when still using 2D-DFT weights with O</w:t>
      </w:r>
      <w:r>
        <w:rPr>
          <w:rFonts w:ascii="Times New Roman" w:hAnsi="Times New Roman"/>
          <w:szCs w:val="20"/>
          <w:vertAlign w:val="subscript"/>
        </w:rPr>
        <w:t>1</w:t>
      </w:r>
      <w:r>
        <w:rPr>
          <w:rFonts w:ascii="Times New Roman" w:hAnsi="Times New Roman"/>
          <w:szCs w:val="20"/>
        </w:rPr>
        <w:t>=O</w:t>
      </w:r>
      <w:r>
        <w:rPr>
          <w:rFonts w:ascii="Times New Roman" w:hAnsi="Times New Roman"/>
          <w:szCs w:val="20"/>
          <w:vertAlign w:val="subscript"/>
        </w:rPr>
        <w:t>2</w:t>
      </w:r>
      <w:r>
        <w:rPr>
          <w:rFonts w:ascii="Times New Roman" w:hAnsi="Times New Roman"/>
          <w:szCs w:val="20"/>
        </w:rPr>
        <w:t>=4 as in 5G-NR</w:t>
      </w:r>
      <w:r>
        <w:rPr>
          <w:rFonts w:ascii="Times New Roman" w:eastAsia="宋体" w:hAnsi="Times New Roman"/>
          <w:szCs w:val="20"/>
          <w:lang w:val="en-US"/>
        </w:rPr>
        <w:t xml:space="preserve"> Type-I CSI codebook</w:t>
      </w:r>
      <w:r>
        <w:rPr>
          <w:rFonts w:ascii="Times New Roman" w:hAnsi="Times New Roman"/>
          <w:szCs w:val="20"/>
        </w:rPr>
        <w:t>, near-field UEs (Z=10m) experience an additional 1.5dB performance loss compared to far-field UEs (Z=100m) caused by near-field effects.</w:t>
      </w:r>
    </w:p>
    <w:p w:rsidR="0048332A" w:rsidRDefault="008337A7">
      <w:pPr>
        <w:overflowPunct w:val="0"/>
        <w:autoSpaceDE w:val="0"/>
        <w:autoSpaceDN w:val="0"/>
        <w:adjustRightInd w:val="0"/>
        <w:spacing w:beforeLines="50" w:before="120" w:after="120" w:line="300" w:lineRule="auto"/>
        <w:jc w:val="center"/>
        <w:textAlignment w:val="baseline"/>
        <w:rPr>
          <w:sz w:val="20"/>
          <w:szCs w:val="20"/>
        </w:rPr>
      </w:pPr>
      <w:r>
        <w:rPr>
          <w:rFonts w:hint="eastAsia"/>
          <w:noProof/>
          <w:sz w:val="20"/>
          <w:szCs w:val="20"/>
        </w:rPr>
        <w:drawing>
          <wp:inline distT="0" distB="0" distL="0" distR="0">
            <wp:extent cx="2792730" cy="20929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03490" cy="2101280"/>
                    </a:xfrm>
                    <a:prstGeom prst="rect">
                      <a:avLst/>
                    </a:prstGeom>
                    <a:noFill/>
                    <a:ln>
                      <a:noFill/>
                    </a:ln>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b/>
          <w:sz w:val="20"/>
          <w:szCs w:val="20"/>
        </w:rPr>
      </w:pPr>
      <w:r>
        <w:rPr>
          <w:rFonts w:hint="eastAsia"/>
          <w:b/>
          <w:sz w:val="20"/>
          <w:szCs w:val="20"/>
        </w:rPr>
        <w:t xml:space="preserve">Figure </w:t>
      </w:r>
      <w:r>
        <w:rPr>
          <w:b/>
          <w:sz w:val="20"/>
          <w:szCs w:val="20"/>
        </w:rPr>
        <w:t>2-2-2</w:t>
      </w:r>
      <w:r>
        <w:rPr>
          <w:rFonts w:hint="eastAsia"/>
          <w:b/>
          <w:sz w:val="20"/>
          <w:szCs w:val="20"/>
        </w:rPr>
        <w:t xml:space="preserve"> </w:t>
      </w:r>
      <w:r>
        <w:rPr>
          <w:sz w:val="20"/>
          <w:szCs w:val="20"/>
        </w:rPr>
        <w:t xml:space="preserve">Gain comparison </w:t>
      </w:r>
      <w:r>
        <w:rPr>
          <w:rFonts w:hint="eastAsia"/>
          <w:sz w:val="20"/>
          <w:szCs w:val="20"/>
        </w:rPr>
        <w:t>of</w:t>
      </w:r>
      <w:r>
        <w:rPr>
          <w:sz w:val="20"/>
          <w:szCs w:val="20"/>
        </w:rPr>
        <w:t xml:space="preserve"> far-field and near-field UEs of ideal SVD precoding over legacy 2D-DFT</w:t>
      </w:r>
    </w:p>
    <w:p w:rsidR="0048332A" w:rsidRDefault="008337A7">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Spatial non-stationarity (SNS) is another critical characteristic should be considered when evaluating ultra-massive MIMO. This characteristic arises from the fact that different antenna elements across the large aperture observe distinct local scattering environments, leading to spatially varying channel parameters such as power distribution. SNS fundamentally impacts beamforming effectiveness, and precoding design, while also introducing new challenges for </w:t>
      </w:r>
      <w:r>
        <w:rPr>
          <w:rFonts w:hint="eastAsia"/>
          <w:sz w:val="20"/>
          <w:szCs w:val="20"/>
        </w:rPr>
        <w:t>perfor</w:t>
      </w:r>
      <w:r>
        <w:rPr>
          <w:sz w:val="20"/>
          <w:szCs w:val="20"/>
        </w:rPr>
        <w:t>mance evaluation, which should be appropriately addressed in 6G.</w:t>
      </w:r>
    </w:p>
    <w:p w:rsidR="0048332A" w:rsidRDefault="008337A7">
      <w:pPr>
        <w:overflowPunct w:val="0"/>
        <w:autoSpaceDE w:val="0"/>
        <w:autoSpaceDN w:val="0"/>
        <w:adjustRightInd w:val="0"/>
        <w:spacing w:beforeLines="50" w:before="120" w:after="120" w:line="300" w:lineRule="auto"/>
        <w:jc w:val="both"/>
        <w:textAlignment w:val="baseline"/>
        <w:rPr>
          <w:bCs/>
          <w:i/>
          <w:sz w:val="20"/>
          <w:szCs w:val="20"/>
        </w:rPr>
      </w:pPr>
      <w:r>
        <w:rPr>
          <w:b/>
          <w:i/>
          <w:sz w:val="20"/>
          <w:szCs w:val="20"/>
          <w:u w:val="single"/>
        </w:rPr>
        <w:t>Proposal</w:t>
      </w:r>
      <w:r>
        <w:rPr>
          <w:rFonts w:hint="eastAsia"/>
          <w:b/>
          <w:i/>
          <w:sz w:val="20"/>
          <w:szCs w:val="20"/>
          <w:u w:val="single"/>
        </w:rPr>
        <w:t xml:space="preserve"> </w:t>
      </w:r>
      <w:r>
        <w:rPr>
          <w:b/>
          <w:i/>
          <w:sz w:val="20"/>
          <w:szCs w:val="20"/>
          <w:u w:val="single"/>
        </w:rPr>
        <w:t>2-2-1</w:t>
      </w:r>
      <w:r>
        <w:rPr>
          <w:b/>
          <w:i/>
          <w:sz w:val="20"/>
          <w:szCs w:val="20"/>
        </w:rPr>
        <w:t xml:space="preserve">: </w:t>
      </w:r>
      <w:r>
        <w:rPr>
          <w:rFonts w:hint="eastAsia"/>
          <w:bCs/>
          <w:i/>
          <w:sz w:val="20"/>
          <w:szCs w:val="20"/>
        </w:rPr>
        <w:t xml:space="preserve">6GR </w:t>
      </w:r>
      <w:r>
        <w:rPr>
          <w:bCs/>
          <w:i/>
          <w:sz w:val="20"/>
          <w:szCs w:val="20"/>
        </w:rPr>
        <w:t xml:space="preserve">evaluation should </w:t>
      </w:r>
      <w:r>
        <w:rPr>
          <w:rFonts w:hint="eastAsia"/>
          <w:bCs/>
          <w:i/>
          <w:sz w:val="20"/>
          <w:szCs w:val="20"/>
        </w:rPr>
        <w:t xml:space="preserve">reuse NR </w:t>
      </w:r>
      <w:r>
        <w:rPr>
          <w:bCs/>
          <w:i/>
          <w:sz w:val="20"/>
          <w:szCs w:val="20"/>
        </w:rPr>
        <w:t>BS</w:t>
      </w:r>
      <w:r>
        <w:rPr>
          <w:rFonts w:hint="eastAsia"/>
          <w:bCs/>
          <w:i/>
          <w:sz w:val="20"/>
          <w:szCs w:val="20"/>
        </w:rPr>
        <w:t xml:space="preserve"> antenna models </w:t>
      </w:r>
      <w:r>
        <w:rPr>
          <w:bCs/>
          <w:i/>
          <w:sz w:val="20"/>
          <w:szCs w:val="20"/>
        </w:rPr>
        <w:t xml:space="preserve">with extension of BS </w:t>
      </w:r>
      <w:r>
        <w:rPr>
          <w:rFonts w:hint="eastAsia"/>
          <w:bCs/>
          <w:i/>
          <w:sz w:val="20"/>
          <w:szCs w:val="20"/>
        </w:rPr>
        <w:t>antenna</w:t>
      </w:r>
      <w:r>
        <w:rPr>
          <w:bCs/>
          <w:i/>
          <w:sz w:val="20"/>
          <w:szCs w:val="20"/>
        </w:rPr>
        <w:t xml:space="preserve"> </w:t>
      </w:r>
      <w:r>
        <w:rPr>
          <w:rFonts w:hint="eastAsia"/>
          <w:bCs/>
          <w:i/>
          <w:sz w:val="20"/>
          <w:szCs w:val="20"/>
        </w:rPr>
        <w:t>elements</w:t>
      </w:r>
      <w:r>
        <w:rPr>
          <w:bCs/>
          <w:i/>
          <w:sz w:val="20"/>
          <w:szCs w:val="20"/>
        </w:rPr>
        <w:t>, e.g., up to 1536 or 2048 for U6GHz, and then n</w:t>
      </w:r>
      <w:r>
        <w:rPr>
          <w:rFonts w:hint="eastAsia"/>
          <w:bCs/>
          <w:i/>
          <w:sz w:val="20"/>
          <w:szCs w:val="20"/>
        </w:rPr>
        <w:t>ear-field</w:t>
      </w:r>
      <w:r>
        <w:rPr>
          <w:bCs/>
          <w:i/>
          <w:sz w:val="20"/>
          <w:szCs w:val="20"/>
        </w:rPr>
        <w:t xml:space="preserve"> </w:t>
      </w:r>
      <w:r>
        <w:rPr>
          <w:rFonts w:hint="eastAsia"/>
          <w:bCs/>
          <w:i/>
          <w:sz w:val="20"/>
          <w:szCs w:val="20"/>
        </w:rPr>
        <w:t>and</w:t>
      </w:r>
      <w:r>
        <w:rPr>
          <w:bCs/>
          <w:i/>
          <w:sz w:val="20"/>
          <w:szCs w:val="20"/>
        </w:rPr>
        <w:t xml:space="preserve"> SNS</w:t>
      </w:r>
      <w:r>
        <w:rPr>
          <w:rFonts w:hint="eastAsia"/>
          <w:bCs/>
          <w:i/>
          <w:sz w:val="20"/>
          <w:szCs w:val="20"/>
        </w:rPr>
        <w:t xml:space="preserve"> channel models</w:t>
      </w:r>
      <w:r>
        <w:rPr>
          <w:bCs/>
          <w:i/>
          <w:sz w:val="20"/>
          <w:szCs w:val="20"/>
        </w:rPr>
        <w:t xml:space="preserve"> </w:t>
      </w:r>
      <w:r>
        <w:rPr>
          <w:rFonts w:hint="eastAsia"/>
          <w:bCs/>
          <w:i/>
          <w:sz w:val="20"/>
          <w:szCs w:val="20"/>
        </w:rPr>
        <w:t xml:space="preserve">in TR 38.901 should be </w:t>
      </w:r>
      <w:r>
        <w:rPr>
          <w:bCs/>
          <w:i/>
          <w:sz w:val="20"/>
          <w:szCs w:val="20"/>
        </w:rPr>
        <w:t>considered</w:t>
      </w:r>
      <w:r>
        <w:rPr>
          <w:rFonts w:hint="eastAsia"/>
          <w:bCs/>
          <w:i/>
          <w:sz w:val="20"/>
          <w:szCs w:val="20"/>
        </w:rPr>
        <w:t>.</w:t>
      </w:r>
    </w:p>
    <w:p w:rsidR="0048332A" w:rsidRDefault="008337A7">
      <w:pPr>
        <w:numPr>
          <w:ilvl w:val="2"/>
          <w:numId w:val="1"/>
        </w:numPr>
        <w:snapToGrid w:val="0"/>
        <w:spacing w:before="240" w:afterLines="50" w:after="120"/>
        <w:jc w:val="both"/>
        <w:outlineLvl w:val="2"/>
        <w:rPr>
          <w:b/>
          <w:szCs w:val="28"/>
        </w:rPr>
      </w:pPr>
      <w:r>
        <w:rPr>
          <w:b/>
          <w:szCs w:val="28"/>
        </w:rPr>
        <w:t>UE antenna modeling</w:t>
      </w:r>
    </w:p>
    <w:p w:rsidR="0048332A" w:rsidRDefault="008337A7">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In Rel-19, the new UE antenna models for handheld UTs and CPEs are introduced for emulating actual UE device types </w:t>
      </w:r>
      <w:r>
        <w:rPr>
          <w:sz w:val="20"/>
          <w:szCs w:val="20"/>
        </w:rPr>
        <w:fldChar w:fldCharType="begin"/>
      </w:r>
      <w:r>
        <w:rPr>
          <w:sz w:val="20"/>
          <w:szCs w:val="20"/>
        </w:rPr>
        <w:instrText xml:space="preserve"> REF _Ref205826948 \r \h  \* MERGEFORMAT </w:instrText>
      </w:r>
      <w:r>
        <w:rPr>
          <w:sz w:val="20"/>
          <w:szCs w:val="20"/>
        </w:rPr>
      </w:r>
      <w:r>
        <w:rPr>
          <w:sz w:val="20"/>
          <w:szCs w:val="20"/>
        </w:rPr>
        <w:fldChar w:fldCharType="separate"/>
      </w:r>
      <w:r w:rsidR="00FD4494">
        <w:rPr>
          <w:sz w:val="20"/>
          <w:szCs w:val="20"/>
        </w:rPr>
        <w:t>[4]</w:t>
      </w:r>
      <w:r>
        <w:rPr>
          <w:sz w:val="20"/>
          <w:szCs w:val="20"/>
        </w:rPr>
        <w:fldChar w:fldCharType="end"/>
      </w:r>
      <w:r>
        <w:rPr>
          <w:sz w:val="20"/>
          <w:szCs w:val="20"/>
        </w:rPr>
        <w:t>.</w:t>
      </w:r>
      <w:r>
        <w:rPr>
          <w:rFonts w:hint="eastAsia"/>
          <w:sz w:val="20"/>
          <w:szCs w:val="20"/>
        </w:rPr>
        <w:t xml:space="preserve"> </w:t>
      </w:r>
      <w:r>
        <w:rPr>
          <w:sz w:val="20"/>
          <w:szCs w:val="20"/>
        </w:rPr>
        <w:t>In the new handheld UT models, the candidate antenna positions better reflect actual product dimensions, with significant variations in orientations. It should be noticed that, the new model has non-negligible impacts on the evaluation of transmission schemes:</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 xml:space="preserve">Regarding DL/UL transmission, besides for single polarization per position, each antenna element has own boresight of directional RF antenna pattern, and then distance among </w:t>
      </w:r>
      <w:proofErr w:type="spellStart"/>
      <w:r>
        <w:rPr>
          <w:rFonts w:ascii="Times New Roman" w:hAnsi="Times New Roman"/>
          <w:szCs w:val="20"/>
        </w:rPr>
        <w:t>neighboring</w:t>
      </w:r>
      <w:proofErr w:type="spellEnd"/>
      <w:r>
        <w:rPr>
          <w:rFonts w:ascii="Times New Roman" w:hAnsi="Times New Roman"/>
          <w:szCs w:val="20"/>
        </w:rPr>
        <w:t xml:space="preserve"> antenna ports is larger than the half-wavelength. It means that the correlation of antenna port(s) is much lower than normal ULA/UPA arrays assumed in 5G-NR.</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Besides, for UL transmission, the potential antenna imbalance among antenna port(s), e.g., 0~6 dB or even more, may severely affects the estimation accuracy of different UL antenna ports, which has certain impacts on uplink CSI acquisition.</w:t>
      </w:r>
    </w:p>
    <w:p w:rsidR="0048332A" w:rsidRDefault="008337A7">
      <w:pPr>
        <w:overflowPunct w:val="0"/>
        <w:autoSpaceDE w:val="0"/>
        <w:autoSpaceDN w:val="0"/>
        <w:adjustRightInd w:val="0"/>
        <w:spacing w:beforeLines="50" w:before="120" w:after="120" w:line="300" w:lineRule="auto"/>
        <w:jc w:val="center"/>
        <w:textAlignment w:val="baseline"/>
      </w:pPr>
      <w:r>
        <w:rPr>
          <w:noProof/>
        </w:rPr>
        <w:lastRenderedPageBreak/>
        <w:drawing>
          <wp:inline distT="0" distB="0" distL="0" distR="0">
            <wp:extent cx="2702560" cy="160528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2723725" cy="1617938"/>
                    </a:xfrm>
                    <a:prstGeom prst="rect">
                      <a:avLst/>
                    </a:prstGeom>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b/>
          <w:sz w:val="20"/>
        </w:rPr>
      </w:pPr>
      <w:r>
        <w:rPr>
          <w:rFonts w:hint="eastAsia"/>
          <w:b/>
          <w:sz w:val="20"/>
        </w:rPr>
        <w:t>F</w:t>
      </w:r>
      <w:r>
        <w:rPr>
          <w:b/>
          <w:sz w:val="20"/>
        </w:rPr>
        <w:t>i</w:t>
      </w:r>
      <w:r>
        <w:rPr>
          <w:rFonts w:hint="eastAsia"/>
          <w:b/>
          <w:sz w:val="20"/>
        </w:rPr>
        <w:t>g</w:t>
      </w:r>
      <w:r>
        <w:rPr>
          <w:b/>
          <w:sz w:val="20"/>
        </w:rPr>
        <w:t xml:space="preserve">ure 2-2-3 </w:t>
      </w:r>
      <w:r>
        <w:rPr>
          <w:sz w:val="20"/>
        </w:rPr>
        <w:t>Illustration of new UE types: handheld UT (left) and CPE (right)</w:t>
      </w:r>
    </w:p>
    <w:p w:rsidR="0048332A" w:rsidRDefault="008337A7">
      <w:pPr>
        <w:overflowPunct w:val="0"/>
        <w:autoSpaceDE w:val="0"/>
        <w:autoSpaceDN w:val="0"/>
        <w:adjustRightInd w:val="0"/>
        <w:spacing w:beforeLines="50" w:before="120" w:after="120" w:line="300" w:lineRule="auto"/>
        <w:jc w:val="both"/>
        <w:textAlignment w:val="baseline"/>
        <w:rPr>
          <w:sz w:val="20"/>
          <w:szCs w:val="20"/>
        </w:rPr>
      </w:pPr>
      <w:r>
        <w:rPr>
          <w:sz w:val="20"/>
          <w:szCs w:val="20"/>
        </w:rPr>
        <w:t>For CPEs, only antenna topology is specified in TR 38.901, while other critical parameters such as operating frequency are missing. For example, the current CPE antenna element spacing is 10cm, which corresponds to exactly half wavelength when assuming an operating frequency of 1.5GHz. However, the element spacing is much larger than half wavelength for 15GHz, leading to channel correlation reduction. Therefore, we propose that the legacy 8-TX/RX UE antenna model discussed in NR (e.g., R18-MIMO UL 8-Tx) can be used to replace CPE, i.e., (M, N, P, Mg, Ng</w:t>
      </w:r>
      <w:r>
        <w:rPr>
          <w:rFonts w:hint="eastAsia"/>
          <w:sz w:val="20"/>
          <w:szCs w:val="20"/>
        </w:rPr>
        <w:t xml:space="preserve">; </w:t>
      </w:r>
      <w:proofErr w:type="spellStart"/>
      <w:r>
        <w:rPr>
          <w:rFonts w:hint="eastAsia"/>
          <w:sz w:val="20"/>
          <w:szCs w:val="20"/>
        </w:rPr>
        <w:t>Mp</w:t>
      </w:r>
      <w:proofErr w:type="spellEnd"/>
      <w:r>
        <w:rPr>
          <w:rFonts w:hint="eastAsia"/>
          <w:sz w:val="20"/>
          <w:szCs w:val="20"/>
        </w:rPr>
        <w:t>, Np</w:t>
      </w:r>
      <w:r>
        <w:rPr>
          <w:sz w:val="20"/>
          <w:szCs w:val="20"/>
        </w:rPr>
        <w:t>) = (2, 2, 2, 1, 1</w:t>
      </w:r>
      <w:r>
        <w:rPr>
          <w:rFonts w:hint="eastAsia"/>
          <w:sz w:val="20"/>
          <w:szCs w:val="20"/>
        </w:rPr>
        <w:t>; 2, 2</w:t>
      </w:r>
      <w:r>
        <w:rPr>
          <w:sz w:val="20"/>
          <w:szCs w:val="20"/>
        </w:rPr>
        <w:t xml:space="preserve">) with omnidirectional antenna elements and </w:t>
      </w:r>
      <w:r>
        <w:rPr>
          <w:rFonts w:eastAsia="微软雅黑"/>
          <w:sz w:val="20"/>
          <w:szCs w:val="20"/>
        </w:rPr>
        <w:t>(</w:t>
      </w:r>
      <w:proofErr w:type="spellStart"/>
      <w:r>
        <w:rPr>
          <w:rFonts w:eastAsia="微软雅黑"/>
          <w:sz w:val="20"/>
          <w:szCs w:val="20"/>
        </w:rPr>
        <w:t>d</w:t>
      </w:r>
      <w:r>
        <w:rPr>
          <w:rFonts w:eastAsia="微软雅黑"/>
          <w:sz w:val="20"/>
          <w:szCs w:val="20"/>
          <w:vertAlign w:val="subscript"/>
        </w:rPr>
        <w:t>H</w:t>
      </w:r>
      <w:proofErr w:type="spellEnd"/>
      <w:r>
        <w:rPr>
          <w:rFonts w:eastAsia="微软雅黑"/>
          <w:sz w:val="20"/>
          <w:szCs w:val="20"/>
        </w:rPr>
        <w:t xml:space="preserve">, </w:t>
      </w:r>
      <w:proofErr w:type="spellStart"/>
      <w:r>
        <w:rPr>
          <w:rFonts w:eastAsia="微软雅黑"/>
          <w:sz w:val="20"/>
          <w:szCs w:val="20"/>
        </w:rPr>
        <w:t>d</w:t>
      </w:r>
      <w:r>
        <w:rPr>
          <w:rFonts w:eastAsia="微软雅黑"/>
          <w:sz w:val="20"/>
          <w:szCs w:val="20"/>
          <w:vertAlign w:val="subscript"/>
        </w:rPr>
        <w:t>V</w:t>
      </w:r>
      <w:proofErr w:type="spellEnd"/>
      <w:r>
        <w:rPr>
          <w:rFonts w:eastAsia="微软雅黑"/>
          <w:sz w:val="20"/>
          <w:szCs w:val="20"/>
        </w:rPr>
        <w:t>) = (0.5, 0.5) λ</w:t>
      </w:r>
      <w:r>
        <w:rPr>
          <w:sz w:val="20"/>
          <w:szCs w:val="20"/>
        </w:rPr>
        <w:t>.</w:t>
      </w:r>
    </w:p>
    <w:p w:rsidR="0048332A" w:rsidRDefault="008337A7">
      <w:pPr>
        <w:overflowPunct w:val="0"/>
        <w:autoSpaceDE w:val="0"/>
        <w:autoSpaceDN w:val="0"/>
        <w:adjustRightInd w:val="0"/>
        <w:snapToGrid w:val="0"/>
        <w:spacing w:beforeLines="50" w:before="120" w:after="120"/>
        <w:jc w:val="both"/>
        <w:textAlignment w:val="baseline"/>
        <w:rPr>
          <w:bCs/>
          <w:i/>
          <w:sz w:val="20"/>
        </w:rPr>
      </w:pPr>
      <w:r>
        <w:rPr>
          <w:b/>
          <w:i/>
          <w:sz w:val="20"/>
          <w:u w:val="single"/>
        </w:rPr>
        <w:t>Proposal 2-2-2</w:t>
      </w:r>
      <w:r>
        <w:rPr>
          <w:b/>
          <w:i/>
          <w:sz w:val="20"/>
        </w:rPr>
        <w:t xml:space="preserve">: </w:t>
      </w:r>
      <w:r>
        <w:rPr>
          <w:bCs/>
          <w:i/>
          <w:sz w:val="20"/>
        </w:rPr>
        <w:t>6GR evaluation should consider the handheld UE antenna model introduced in Rel-19.</w:t>
      </w:r>
    </w:p>
    <w:p w:rsidR="0048332A" w:rsidRDefault="008337A7">
      <w:pPr>
        <w:pStyle w:val="ListParagraph"/>
        <w:numPr>
          <w:ilvl w:val="0"/>
          <w:numId w:val="11"/>
        </w:numPr>
        <w:overflowPunct w:val="0"/>
        <w:autoSpaceDE w:val="0"/>
        <w:autoSpaceDN w:val="0"/>
        <w:adjustRightInd w:val="0"/>
        <w:snapToGrid w:val="0"/>
        <w:spacing w:beforeLines="50" w:before="120" w:after="120"/>
        <w:ind w:leftChars="0"/>
        <w:jc w:val="both"/>
        <w:textAlignment w:val="baseline"/>
        <w:rPr>
          <w:rFonts w:ascii="Times New Roman" w:hAnsi="Times New Roman"/>
          <w:bCs/>
          <w:i/>
          <w:sz w:val="18"/>
        </w:rPr>
      </w:pPr>
      <w:r>
        <w:rPr>
          <w:rFonts w:ascii="Times New Roman" w:hAnsi="Times New Roman"/>
          <w:bCs/>
          <w:i/>
          <w:szCs w:val="32"/>
        </w:rPr>
        <w:t xml:space="preserve">For CPE applications, the existing 5G model of 8-TX/RX UE antenna array with parameters </w:t>
      </w:r>
      <w:r>
        <w:rPr>
          <w:rFonts w:ascii="Times New Roman" w:hAnsi="Times New Roman"/>
          <w:i/>
          <w:szCs w:val="32"/>
        </w:rPr>
        <w:t>(M, N, P, M</w:t>
      </w:r>
      <w:r>
        <w:rPr>
          <w:rFonts w:ascii="Times New Roman" w:hAnsi="Times New Roman"/>
          <w:i/>
          <w:szCs w:val="32"/>
          <w:vertAlign w:val="subscript"/>
        </w:rPr>
        <w:t>g</w:t>
      </w:r>
      <w:r>
        <w:rPr>
          <w:rFonts w:ascii="Times New Roman" w:hAnsi="Times New Roman"/>
          <w:i/>
          <w:szCs w:val="32"/>
        </w:rPr>
        <w:t>, N</w:t>
      </w:r>
      <w:r>
        <w:rPr>
          <w:rFonts w:ascii="Times New Roman" w:hAnsi="Times New Roman"/>
          <w:i/>
          <w:szCs w:val="22"/>
          <w:vertAlign w:val="subscript"/>
        </w:rPr>
        <w:t>g</w:t>
      </w:r>
      <w:r>
        <w:rPr>
          <w:rFonts w:ascii="Times New Roman" w:hAnsi="Times New Roman"/>
          <w:i/>
          <w:iCs/>
          <w:szCs w:val="22"/>
        </w:rPr>
        <w:t xml:space="preserve">; </w:t>
      </w:r>
      <w:proofErr w:type="spellStart"/>
      <w:r>
        <w:rPr>
          <w:rFonts w:ascii="Times New Roman" w:hAnsi="Times New Roman"/>
          <w:i/>
          <w:iCs/>
          <w:szCs w:val="22"/>
        </w:rPr>
        <w:t>M</w:t>
      </w:r>
      <w:r>
        <w:rPr>
          <w:rFonts w:ascii="Times New Roman" w:hAnsi="Times New Roman"/>
          <w:i/>
          <w:iCs/>
          <w:szCs w:val="22"/>
          <w:vertAlign w:val="subscript"/>
        </w:rPr>
        <w:t>p</w:t>
      </w:r>
      <w:proofErr w:type="spellEnd"/>
      <w:r>
        <w:rPr>
          <w:rFonts w:ascii="Times New Roman" w:hAnsi="Times New Roman"/>
          <w:i/>
          <w:iCs/>
          <w:szCs w:val="22"/>
        </w:rPr>
        <w:t>, N</w:t>
      </w:r>
      <w:r>
        <w:rPr>
          <w:rFonts w:ascii="Times New Roman" w:hAnsi="Times New Roman"/>
          <w:i/>
          <w:iCs/>
          <w:szCs w:val="22"/>
          <w:vertAlign w:val="subscript"/>
        </w:rPr>
        <w:t>p</w:t>
      </w:r>
      <w:r>
        <w:rPr>
          <w:rFonts w:ascii="Times New Roman" w:hAnsi="Times New Roman"/>
          <w:i/>
          <w:szCs w:val="32"/>
        </w:rPr>
        <w:t>) = (2, 2, 2, 1, 1; 2, 2)</w:t>
      </w:r>
      <w:r>
        <w:rPr>
          <w:rFonts w:ascii="Times New Roman" w:hAnsi="Times New Roman"/>
          <w:bCs/>
          <w:i/>
          <w:szCs w:val="32"/>
        </w:rPr>
        <w:t xml:space="preserve"> and</w:t>
      </w:r>
      <w:r>
        <w:rPr>
          <w:rFonts w:ascii="Times New Roman" w:hAnsi="Times New Roman"/>
          <w:i/>
          <w:szCs w:val="32"/>
        </w:rPr>
        <w:t xml:space="preserve"> </w:t>
      </w:r>
      <w:r>
        <w:rPr>
          <w:rFonts w:ascii="Times New Roman" w:eastAsia="微软雅黑" w:hAnsi="Times New Roman"/>
          <w:i/>
          <w:szCs w:val="22"/>
        </w:rPr>
        <w:t>(</w:t>
      </w:r>
      <w:proofErr w:type="spellStart"/>
      <w:r>
        <w:rPr>
          <w:rFonts w:ascii="Times New Roman" w:eastAsia="微软雅黑" w:hAnsi="Times New Roman"/>
          <w:i/>
          <w:szCs w:val="22"/>
        </w:rPr>
        <w:t>d</w:t>
      </w:r>
      <w:r>
        <w:rPr>
          <w:rFonts w:ascii="Times New Roman" w:eastAsia="微软雅黑" w:hAnsi="Times New Roman"/>
          <w:i/>
          <w:szCs w:val="22"/>
          <w:vertAlign w:val="subscript"/>
        </w:rPr>
        <w:t>H</w:t>
      </w:r>
      <w:proofErr w:type="spellEnd"/>
      <w:r>
        <w:rPr>
          <w:rFonts w:ascii="Times New Roman" w:eastAsia="微软雅黑" w:hAnsi="Times New Roman"/>
          <w:i/>
          <w:szCs w:val="22"/>
        </w:rPr>
        <w:t xml:space="preserve">, </w:t>
      </w:r>
      <w:proofErr w:type="spellStart"/>
      <w:r>
        <w:rPr>
          <w:rFonts w:ascii="Times New Roman" w:eastAsia="微软雅黑" w:hAnsi="Times New Roman"/>
          <w:i/>
          <w:szCs w:val="22"/>
        </w:rPr>
        <w:t>d</w:t>
      </w:r>
      <w:r>
        <w:rPr>
          <w:rFonts w:ascii="Times New Roman" w:eastAsia="微软雅黑" w:hAnsi="Times New Roman"/>
          <w:i/>
          <w:szCs w:val="22"/>
          <w:vertAlign w:val="subscript"/>
        </w:rPr>
        <w:t>V</w:t>
      </w:r>
      <w:proofErr w:type="spellEnd"/>
      <w:r>
        <w:rPr>
          <w:rFonts w:ascii="Times New Roman" w:eastAsia="微软雅黑" w:hAnsi="Times New Roman"/>
          <w:i/>
          <w:szCs w:val="22"/>
        </w:rPr>
        <w:t xml:space="preserve">) = (0.5, </w:t>
      </w:r>
      <w:proofErr w:type="gramStart"/>
      <w:r>
        <w:rPr>
          <w:rFonts w:ascii="Times New Roman" w:eastAsia="微软雅黑" w:hAnsi="Times New Roman"/>
          <w:i/>
          <w:szCs w:val="22"/>
        </w:rPr>
        <w:t>0.5)λ</w:t>
      </w:r>
      <w:proofErr w:type="gramEnd"/>
      <w:r>
        <w:rPr>
          <w:rFonts w:ascii="Times New Roman" w:hAnsi="Times New Roman"/>
          <w:bCs/>
          <w:i/>
          <w:szCs w:val="32"/>
        </w:rPr>
        <w:t xml:space="preserve"> should be supported as well.</w:t>
      </w:r>
    </w:p>
    <w:p w:rsidR="0048332A" w:rsidRDefault="008337A7">
      <w:pPr>
        <w:numPr>
          <w:ilvl w:val="2"/>
          <w:numId w:val="1"/>
        </w:numPr>
        <w:snapToGrid w:val="0"/>
        <w:spacing w:before="240" w:afterLines="50" w:after="120"/>
        <w:jc w:val="both"/>
        <w:outlineLvl w:val="2"/>
        <w:rPr>
          <w:b/>
          <w:szCs w:val="28"/>
        </w:rPr>
      </w:pPr>
      <w:r>
        <w:rPr>
          <w:b/>
          <w:szCs w:val="28"/>
        </w:rPr>
        <w:t xml:space="preserve">TXRU to </w:t>
      </w:r>
      <w:r>
        <w:rPr>
          <w:rFonts w:hint="eastAsia"/>
          <w:b/>
          <w:szCs w:val="28"/>
        </w:rPr>
        <w:t>antenna</w:t>
      </w:r>
      <w:r>
        <w:rPr>
          <w:b/>
          <w:szCs w:val="28"/>
        </w:rPr>
        <w:t xml:space="preserve"> element mapping</w:t>
      </w:r>
    </w:p>
    <w:p w:rsidR="0048332A" w:rsidRDefault="008337A7">
      <w:pPr>
        <w:overflowPunct w:val="0"/>
        <w:autoSpaceDE w:val="0"/>
        <w:autoSpaceDN w:val="0"/>
        <w:adjustRightInd w:val="0"/>
        <w:snapToGrid w:val="0"/>
        <w:spacing w:beforeLines="50" w:before="120" w:after="120"/>
        <w:jc w:val="both"/>
        <w:textAlignment w:val="baseline"/>
        <w:rPr>
          <w:sz w:val="20"/>
          <w:szCs w:val="20"/>
        </w:rPr>
      </w:pPr>
      <w:r>
        <w:rPr>
          <w:sz w:val="20"/>
          <w:szCs w:val="20"/>
        </w:rPr>
        <w:t>As mentioned earlier, 6GR will adopt ultra-massive antenna arrays. Considering power consumption and hardware costs, the analog beamforming or hybrid beamforming architecture from NR should be utilized as well. Depending on the BS hardware architecture, there are multiple ways to map TXRUs to antenna elements.</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Firstly, antenna elements within a panel can be divided into multiple subarrays, where a single TXRU is mapped per subarray per polarization. Then, while introducing multiple panel(s), we can consider the extension of TXRU to antenna element mapping on the top of that, i.e., TXRU per subarray per panel per polarization.</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Besides, there is the fully-connected approach, where a single TXRU is mapped per panel per polarization. In the fully-connected architecture, the same antenna element may be connected to multiple TXRUs, and signals from these TXRUs are superimposed at the antenna element, making the hardware design more complex compared to the subarray architecture.</w:t>
      </w:r>
    </w:p>
    <w:p w:rsidR="0048332A" w:rsidRDefault="008337A7">
      <w:pPr>
        <w:overflowPunct w:val="0"/>
        <w:autoSpaceDE w:val="0"/>
        <w:autoSpaceDN w:val="0"/>
        <w:adjustRightInd w:val="0"/>
        <w:snapToGrid w:val="0"/>
        <w:spacing w:beforeLines="50" w:before="120" w:after="120"/>
        <w:jc w:val="both"/>
        <w:textAlignment w:val="baseline"/>
        <w:rPr>
          <w:sz w:val="20"/>
          <w:szCs w:val="20"/>
        </w:rPr>
      </w:pPr>
      <w:r>
        <w:rPr>
          <w:sz w:val="20"/>
          <w:szCs w:val="20"/>
        </w:rPr>
        <w:t>For 6GR evaluation, the subarray architecture can serve as a starting point.</w:t>
      </w:r>
    </w:p>
    <w:p w:rsidR="0048332A" w:rsidRDefault="008337A7">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3870325" cy="1545590"/>
            <wp:effectExtent l="0" t="0" r="15875" b="165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stretch>
                      <a:fillRect/>
                    </a:stretch>
                  </pic:blipFill>
                  <pic:spPr>
                    <a:xfrm>
                      <a:off x="0" y="0"/>
                      <a:ext cx="3876563" cy="1548140"/>
                    </a:xfrm>
                    <a:prstGeom prst="rect">
                      <a:avLst/>
                    </a:prstGeom>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sz w:val="20"/>
        </w:rPr>
      </w:pPr>
      <w:r>
        <w:rPr>
          <w:rFonts w:eastAsiaTheme="minorEastAsia"/>
          <w:b/>
          <w:sz w:val="20"/>
        </w:rPr>
        <w:t>Figure 2-2-4</w:t>
      </w:r>
      <w:r>
        <w:rPr>
          <w:rFonts w:eastAsiaTheme="minorEastAsia"/>
          <w:sz w:val="20"/>
        </w:rPr>
        <w:t xml:space="preserve"> Methods of TXRU </w:t>
      </w:r>
      <w:r>
        <w:rPr>
          <w:rFonts w:eastAsiaTheme="minorEastAsia" w:hint="eastAsia"/>
          <w:sz w:val="20"/>
        </w:rPr>
        <w:t>to antenna elements mapping</w:t>
      </w:r>
      <w:r>
        <w:rPr>
          <w:rFonts w:eastAsiaTheme="minorEastAsia"/>
          <w:sz w:val="20"/>
        </w:rPr>
        <w:t>: subarray (left) and fully-connected (right)</w:t>
      </w:r>
    </w:p>
    <w:p w:rsidR="0048332A" w:rsidRDefault="008337A7">
      <w:pPr>
        <w:overflowPunct w:val="0"/>
        <w:autoSpaceDE w:val="0"/>
        <w:autoSpaceDN w:val="0"/>
        <w:adjustRightInd w:val="0"/>
        <w:spacing w:beforeLines="50" w:before="120" w:after="120" w:line="300" w:lineRule="auto"/>
        <w:jc w:val="both"/>
        <w:textAlignment w:val="baseline"/>
        <w:rPr>
          <w:sz w:val="20"/>
        </w:rPr>
      </w:pPr>
      <w:r>
        <w:rPr>
          <w:sz w:val="20"/>
        </w:rPr>
        <w:lastRenderedPageBreak/>
        <w:t>For the mapping weights between TXRUs and antenna elements, the evaluation can continue using 1D or 2D DFT vectors for beamforming from 5G-NR. Then, for FR2 operation, 5G-NR beam management procedures can serve as a starting point for evaluation. It should be noted that when considering the near-field effects of ultra-massive antenna arrays, the phase gradients of DFT weights for different TXRUs may vary, necessitating enhancements to beam management schemes.</w:t>
      </w:r>
    </w:p>
    <w:p w:rsidR="0048332A" w:rsidRDefault="008337A7">
      <w:pPr>
        <w:overflowPunct w:val="0"/>
        <w:autoSpaceDE w:val="0"/>
        <w:autoSpaceDN w:val="0"/>
        <w:adjustRightInd w:val="0"/>
        <w:spacing w:beforeLines="50" w:before="120" w:after="120"/>
        <w:jc w:val="both"/>
        <w:textAlignment w:val="baseline"/>
        <w:rPr>
          <w:bCs/>
          <w:i/>
          <w:sz w:val="20"/>
        </w:rPr>
      </w:pPr>
      <w:r>
        <w:rPr>
          <w:b/>
          <w:i/>
          <w:sz w:val="20"/>
          <w:u w:val="single"/>
        </w:rPr>
        <w:t>Proposal</w:t>
      </w:r>
      <w:r>
        <w:rPr>
          <w:rFonts w:hint="eastAsia"/>
          <w:b/>
          <w:i/>
          <w:sz w:val="20"/>
          <w:u w:val="single"/>
        </w:rPr>
        <w:t xml:space="preserve"> </w:t>
      </w:r>
      <w:r>
        <w:rPr>
          <w:b/>
          <w:i/>
          <w:sz w:val="20"/>
          <w:u w:val="single"/>
        </w:rPr>
        <w:t>2-2-3</w:t>
      </w:r>
      <w:r>
        <w:rPr>
          <w:b/>
          <w:i/>
          <w:sz w:val="20"/>
        </w:rPr>
        <w:t xml:space="preserve">: </w:t>
      </w:r>
      <w:r>
        <w:rPr>
          <w:rFonts w:hint="eastAsia"/>
          <w:bCs/>
          <w:i/>
          <w:sz w:val="20"/>
        </w:rPr>
        <w:t xml:space="preserve">6GR evaluation should consider both </w:t>
      </w:r>
      <w:r>
        <w:rPr>
          <w:bCs/>
          <w:i/>
          <w:sz w:val="20"/>
        </w:rPr>
        <w:t xml:space="preserve">the </w:t>
      </w:r>
      <w:r>
        <w:rPr>
          <w:rFonts w:hint="eastAsia"/>
          <w:bCs/>
          <w:i/>
          <w:sz w:val="20"/>
        </w:rPr>
        <w:t>subarray</w:t>
      </w:r>
      <w:r>
        <w:rPr>
          <w:bCs/>
          <w:i/>
          <w:sz w:val="20"/>
        </w:rPr>
        <w:t>-specific</w:t>
      </w:r>
      <w:r>
        <w:rPr>
          <w:rFonts w:hint="eastAsia"/>
          <w:bCs/>
          <w:i/>
          <w:sz w:val="20"/>
        </w:rPr>
        <w:t xml:space="preserve"> and fully-connected mapping approaches from TXRU to antenna elements, </w:t>
      </w:r>
      <w:r>
        <w:rPr>
          <w:bCs/>
          <w:i/>
          <w:sz w:val="20"/>
        </w:rPr>
        <w:t>where</w:t>
      </w:r>
      <w:r>
        <w:rPr>
          <w:rFonts w:hint="eastAsia"/>
          <w:bCs/>
          <w:i/>
          <w:sz w:val="20"/>
        </w:rPr>
        <w:t xml:space="preserve"> subarray</w:t>
      </w:r>
      <w:r>
        <w:rPr>
          <w:bCs/>
          <w:i/>
          <w:sz w:val="20"/>
        </w:rPr>
        <w:t>-specific</w:t>
      </w:r>
      <w:r>
        <w:rPr>
          <w:rFonts w:hint="eastAsia"/>
          <w:bCs/>
          <w:i/>
          <w:sz w:val="20"/>
        </w:rPr>
        <w:t xml:space="preserve"> </w:t>
      </w:r>
      <w:r>
        <w:rPr>
          <w:bCs/>
          <w:i/>
          <w:sz w:val="20"/>
        </w:rPr>
        <w:t xml:space="preserve">is considered </w:t>
      </w:r>
      <w:r>
        <w:rPr>
          <w:rFonts w:hint="eastAsia"/>
          <w:bCs/>
          <w:i/>
          <w:sz w:val="20"/>
        </w:rPr>
        <w:t>as the evaluation starting point.</w:t>
      </w:r>
    </w:p>
    <w:p w:rsidR="0048332A" w:rsidRPr="00E2221F" w:rsidRDefault="008337A7">
      <w:pPr>
        <w:pStyle w:val="ListParagraph"/>
        <w:numPr>
          <w:ilvl w:val="0"/>
          <w:numId w:val="11"/>
        </w:numPr>
        <w:overflowPunct w:val="0"/>
        <w:autoSpaceDE w:val="0"/>
        <w:autoSpaceDN w:val="0"/>
        <w:adjustRightInd w:val="0"/>
        <w:spacing w:beforeLines="50" w:before="120" w:after="120"/>
        <w:ind w:leftChars="0"/>
        <w:jc w:val="both"/>
        <w:textAlignment w:val="baseline"/>
        <w:rPr>
          <w:rFonts w:ascii="Times New Roman" w:hAnsi="Times New Roman"/>
          <w:bCs/>
          <w:i/>
          <w:szCs w:val="32"/>
        </w:rPr>
      </w:pPr>
      <w:r w:rsidRPr="00E2221F">
        <w:rPr>
          <w:rFonts w:ascii="Times New Roman" w:hAnsi="Times New Roman"/>
          <w:bCs/>
          <w:i/>
          <w:szCs w:val="32"/>
        </w:rPr>
        <w:t>Alt-1 Subarray-specific: TXRU per subarray per panel per polarization;</w:t>
      </w:r>
    </w:p>
    <w:p w:rsidR="0048332A" w:rsidRDefault="008337A7">
      <w:pPr>
        <w:pStyle w:val="ListParagraph"/>
        <w:numPr>
          <w:ilvl w:val="0"/>
          <w:numId w:val="11"/>
        </w:numPr>
        <w:overflowPunct w:val="0"/>
        <w:autoSpaceDE w:val="0"/>
        <w:autoSpaceDN w:val="0"/>
        <w:adjustRightInd w:val="0"/>
        <w:spacing w:beforeLines="50" w:before="120" w:after="120"/>
        <w:ind w:leftChars="0"/>
        <w:jc w:val="both"/>
        <w:textAlignment w:val="baseline"/>
        <w:rPr>
          <w:bCs/>
          <w:i/>
          <w:sz w:val="18"/>
        </w:rPr>
      </w:pPr>
      <w:r w:rsidRPr="00E2221F">
        <w:rPr>
          <w:rFonts w:ascii="Times New Roman" w:hAnsi="Times New Roman"/>
          <w:bCs/>
          <w:i/>
          <w:szCs w:val="32"/>
        </w:rPr>
        <w:t>Alt-2 Fully-connected: TXRU per panel per polarization;</w:t>
      </w:r>
    </w:p>
    <w:p w:rsidR="0048332A" w:rsidRDefault="008337A7">
      <w:pPr>
        <w:numPr>
          <w:ilvl w:val="2"/>
          <w:numId w:val="1"/>
        </w:numPr>
        <w:snapToGrid w:val="0"/>
        <w:spacing w:before="240" w:afterLines="50" w:after="120"/>
        <w:jc w:val="both"/>
        <w:outlineLvl w:val="2"/>
        <w:rPr>
          <w:b/>
          <w:szCs w:val="28"/>
        </w:rPr>
      </w:pPr>
      <w:r>
        <w:rPr>
          <w:b/>
          <w:szCs w:val="28"/>
        </w:rPr>
        <w:t>Multi-TRP operation</w:t>
      </w:r>
    </w:p>
    <w:p w:rsidR="0048332A" w:rsidRDefault="008337A7">
      <w:pPr>
        <w:overflowPunct w:val="0"/>
        <w:autoSpaceDE w:val="0"/>
        <w:autoSpaceDN w:val="0"/>
        <w:adjustRightInd w:val="0"/>
        <w:snapToGrid w:val="0"/>
        <w:spacing w:beforeLines="50" w:before="120" w:after="120"/>
        <w:jc w:val="both"/>
        <w:textAlignment w:val="baseline"/>
        <w:rPr>
          <w:sz w:val="20"/>
        </w:rPr>
      </w:pPr>
      <w:r>
        <w:rPr>
          <w:rFonts w:hint="eastAsia"/>
          <w:sz w:val="20"/>
        </w:rPr>
        <w:t>In addition to using ultra-massive MIMO for single TRP transmission, multi-TRP transmission schemes should also be considered in 6GR evaluation. Compared to</w:t>
      </w:r>
      <w:r>
        <w:rPr>
          <w:sz w:val="20"/>
        </w:rPr>
        <w:t xml:space="preserve"> single </w:t>
      </w:r>
      <w:r>
        <w:rPr>
          <w:rFonts w:hint="eastAsia"/>
          <w:sz w:val="20"/>
        </w:rPr>
        <w:t xml:space="preserve">TRP, the advantage of </w:t>
      </w:r>
      <w:r>
        <w:rPr>
          <w:sz w:val="20"/>
        </w:rPr>
        <w:t>multi-</w:t>
      </w:r>
      <w:r>
        <w:rPr>
          <w:rFonts w:hint="eastAsia"/>
          <w:sz w:val="20"/>
        </w:rPr>
        <w:t xml:space="preserve">TRP is </w:t>
      </w:r>
      <w:r>
        <w:rPr>
          <w:sz w:val="20"/>
        </w:rPr>
        <w:t xml:space="preserve">to </w:t>
      </w:r>
      <w:r>
        <w:rPr>
          <w:rFonts w:hint="eastAsia"/>
          <w:sz w:val="20"/>
        </w:rPr>
        <w:t>maximiz</w:t>
      </w:r>
      <w:r>
        <w:rPr>
          <w:sz w:val="20"/>
        </w:rPr>
        <w:t>e</w:t>
      </w:r>
      <w:r>
        <w:rPr>
          <w:rFonts w:hint="eastAsia"/>
          <w:sz w:val="20"/>
        </w:rPr>
        <w:t xml:space="preserve"> multi-antenna gains while balancing implementation complexity and throughput performance. For different frequency bands, multi-TRP operation may vary. </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Regarding FR1/U6GHz, coherent joint transmission (CJT) can be used to improve coverage and average throughput in commercial deployments with high-performance backhaul and synchronization.</w:t>
      </w:r>
    </w:p>
    <w:p w:rsidR="0048332A" w:rsidRDefault="008337A7">
      <w:pPr>
        <w:pStyle w:val="ListParagraph"/>
        <w:numPr>
          <w:ilvl w:val="0"/>
          <w:numId w:val="10"/>
        </w:numPr>
        <w:overflowPunct w:val="0"/>
        <w:autoSpaceDE w:val="0"/>
        <w:autoSpaceDN w:val="0"/>
        <w:adjustRightInd w:val="0"/>
        <w:snapToGrid w:val="0"/>
        <w:spacing w:beforeLines="50" w:before="120" w:after="50"/>
        <w:ind w:leftChars="0"/>
        <w:jc w:val="both"/>
        <w:textAlignment w:val="baseline"/>
        <w:rPr>
          <w:rFonts w:ascii="Times New Roman" w:hAnsi="Times New Roman"/>
          <w:szCs w:val="20"/>
        </w:rPr>
      </w:pPr>
      <w:r>
        <w:rPr>
          <w:rFonts w:ascii="Times New Roman" w:hAnsi="Times New Roman"/>
          <w:szCs w:val="20"/>
        </w:rPr>
        <w:t>Then, regarding FR2, with low NW implementation complexity, NCJT can be considered as a starting point for FR2 deployment to accommodate the challenge of unpredicted blockage.</w:t>
      </w:r>
    </w:p>
    <w:p w:rsidR="0048332A" w:rsidRDefault="008337A7">
      <w:pPr>
        <w:overflowPunct w:val="0"/>
        <w:autoSpaceDE w:val="0"/>
        <w:autoSpaceDN w:val="0"/>
        <w:adjustRightInd w:val="0"/>
        <w:snapToGrid w:val="0"/>
        <w:spacing w:beforeLines="50" w:before="120" w:after="120"/>
        <w:jc w:val="both"/>
        <w:textAlignment w:val="baseline"/>
        <w:rPr>
          <w:sz w:val="20"/>
        </w:rPr>
      </w:pPr>
      <w:r>
        <w:rPr>
          <w:rFonts w:hint="eastAsia"/>
          <w:sz w:val="20"/>
        </w:rPr>
        <w:t xml:space="preserve">The deployment scenarios of multi-TRP operation (CJT/NCJT) can be divided into the following three categories: a) intra-site, b) inter-site, and c) intra-&amp;inter-site as shown in Figure </w:t>
      </w:r>
      <w:r>
        <w:rPr>
          <w:sz w:val="20"/>
        </w:rPr>
        <w:t>2-2-5</w:t>
      </w:r>
      <w:r>
        <w:rPr>
          <w:rFonts w:hint="eastAsia"/>
          <w:sz w:val="20"/>
        </w:rPr>
        <w:t>.</w:t>
      </w:r>
    </w:p>
    <w:p w:rsidR="0048332A" w:rsidRDefault="008337A7">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4845050" cy="1790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sz w:val="20"/>
        </w:rPr>
      </w:pPr>
      <w:r>
        <w:rPr>
          <w:rFonts w:hint="eastAsia"/>
          <w:b/>
          <w:bCs/>
          <w:sz w:val="20"/>
        </w:rPr>
        <w:t xml:space="preserve">Figure </w:t>
      </w:r>
      <w:r>
        <w:rPr>
          <w:rFonts w:eastAsiaTheme="minorEastAsia"/>
          <w:b/>
          <w:sz w:val="20"/>
        </w:rPr>
        <w:t>2-2-5</w:t>
      </w:r>
      <w:r>
        <w:rPr>
          <w:rFonts w:eastAsiaTheme="minorEastAsia"/>
          <w:sz w:val="20"/>
        </w:rPr>
        <w:t xml:space="preserve"> </w:t>
      </w:r>
      <w:r>
        <w:rPr>
          <w:rFonts w:hint="eastAsia"/>
          <w:sz w:val="20"/>
        </w:rPr>
        <w:t>Deployment scenarios for CJT: (a) intra-site, (b) inter-site, (c) intra-&amp;inter-site</w:t>
      </w:r>
    </w:p>
    <w:p w:rsidR="0048332A" w:rsidRDefault="008337A7">
      <w:pPr>
        <w:overflowPunct w:val="0"/>
        <w:autoSpaceDE w:val="0"/>
        <w:autoSpaceDN w:val="0"/>
        <w:adjustRightInd w:val="0"/>
        <w:spacing w:beforeLines="50" w:before="120" w:after="120" w:line="300" w:lineRule="auto"/>
        <w:textAlignment w:val="baseline"/>
        <w:rPr>
          <w:i/>
          <w:iCs/>
          <w:sz w:val="20"/>
        </w:rPr>
      </w:pPr>
      <w:r>
        <w:rPr>
          <w:rFonts w:hint="eastAsia"/>
          <w:b/>
          <w:bCs/>
          <w:i/>
          <w:iCs/>
          <w:sz w:val="20"/>
        </w:rPr>
        <w:t xml:space="preserve">Proposal </w:t>
      </w:r>
      <w:r>
        <w:rPr>
          <w:b/>
          <w:bCs/>
          <w:i/>
          <w:iCs/>
          <w:sz w:val="20"/>
        </w:rPr>
        <w:t>2-2-4</w:t>
      </w:r>
      <w:r>
        <w:rPr>
          <w:rFonts w:hint="eastAsia"/>
          <w:i/>
          <w:iCs/>
          <w:sz w:val="20"/>
        </w:rPr>
        <w:t xml:space="preserve">: </w:t>
      </w:r>
      <w:r>
        <w:rPr>
          <w:i/>
          <w:iCs/>
          <w:sz w:val="20"/>
        </w:rPr>
        <w:t xml:space="preserve">6GR evaluation should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w:t>
      </w:r>
      <w:r>
        <w:rPr>
          <w:rFonts w:hint="eastAsia"/>
          <w:i/>
          <w:iCs/>
          <w:sz w:val="20"/>
        </w:rPr>
        <w:t>.</w:t>
      </w:r>
    </w:p>
    <w:p w:rsidR="0048332A" w:rsidRDefault="008337A7">
      <w:pPr>
        <w:overflowPunct w:val="0"/>
        <w:autoSpaceDE w:val="0"/>
        <w:autoSpaceDN w:val="0"/>
        <w:adjustRightInd w:val="0"/>
        <w:snapToGrid w:val="0"/>
        <w:spacing w:beforeLines="50" w:before="120" w:after="120"/>
        <w:jc w:val="both"/>
        <w:textAlignment w:val="baseline"/>
        <w:rPr>
          <w:sz w:val="20"/>
        </w:rPr>
      </w:pPr>
      <w:r>
        <w:rPr>
          <w:rFonts w:hint="eastAsia"/>
          <w:sz w:val="20"/>
        </w:rPr>
        <w:t xml:space="preserve">Current transmission schemes assume that UL and DL services are provided by the same physical serving site. However, in heterogeneous networks, </w:t>
      </w:r>
      <w:r>
        <w:rPr>
          <w:sz w:val="20"/>
        </w:rPr>
        <w:t xml:space="preserve">while considering that there may be different optimal serving TRPs for DL and UL and potentially NW-DL energy saving, DL and UL site decoupling can distinctly improve UL transmission performance (especially for cell-edge UE) and has been specified in Rel-19 MIMO, </w:t>
      </w:r>
      <w:r>
        <w:rPr>
          <w:rFonts w:hint="eastAsia"/>
          <w:sz w:val="20"/>
        </w:rPr>
        <w:t xml:space="preserve">as shown in Figure </w:t>
      </w:r>
      <w:r>
        <w:rPr>
          <w:sz w:val="20"/>
        </w:rPr>
        <w:t>2-2-6.</w:t>
      </w:r>
    </w:p>
    <w:p w:rsidR="0048332A" w:rsidRDefault="008337A7">
      <w:pPr>
        <w:overflowPunct w:val="0"/>
        <w:autoSpaceDE w:val="0"/>
        <w:autoSpaceDN w:val="0"/>
        <w:adjustRightInd w:val="0"/>
        <w:spacing w:beforeLines="50" w:before="120" w:after="120" w:line="300" w:lineRule="auto"/>
        <w:jc w:val="center"/>
        <w:textAlignment w:val="baseline"/>
        <w:rPr>
          <w:sz w:val="20"/>
        </w:rPr>
      </w:pPr>
      <w:r>
        <w:rPr>
          <w:noProof/>
          <w:sz w:val="20"/>
        </w:rPr>
        <w:lastRenderedPageBreak/>
        <w:drawing>
          <wp:inline distT="0" distB="0" distL="0" distR="0">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rsidR="0048332A" w:rsidRDefault="008337A7">
      <w:pPr>
        <w:overflowPunct w:val="0"/>
        <w:autoSpaceDE w:val="0"/>
        <w:autoSpaceDN w:val="0"/>
        <w:adjustRightInd w:val="0"/>
        <w:spacing w:beforeLines="50" w:before="120" w:after="120" w:line="300" w:lineRule="auto"/>
        <w:jc w:val="center"/>
        <w:textAlignment w:val="baseline"/>
        <w:rPr>
          <w:sz w:val="20"/>
        </w:rPr>
      </w:pPr>
      <w:r>
        <w:rPr>
          <w:b/>
          <w:bCs/>
          <w:sz w:val="20"/>
        </w:rPr>
        <w:t>Figure 2-2-6</w:t>
      </w:r>
      <w:r>
        <w:rPr>
          <w:sz w:val="20"/>
        </w:rPr>
        <w:t xml:space="preserve"> Asymmetric DL single TRP / UL multi-TRP scenarios</w:t>
      </w:r>
    </w:p>
    <w:p w:rsidR="0048332A" w:rsidRDefault="008337A7">
      <w:pPr>
        <w:overflowPunct w:val="0"/>
        <w:autoSpaceDE w:val="0"/>
        <w:autoSpaceDN w:val="0"/>
        <w:adjustRightInd w:val="0"/>
        <w:spacing w:beforeLines="50" w:before="120" w:after="120" w:line="300" w:lineRule="auto"/>
        <w:textAlignment w:val="baseline"/>
        <w:rPr>
          <w:i/>
          <w:iCs/>
          <w:sz w:val="20"/>
        </w:rPr>
      </w:pPr>
      <w:r>
        <w:rPr>
          <w:rFonts w:hint="eastAsia"/>
          <w:b/>
          <w:bCs/>
          <w:i/>
          <w:iCs/>
          <w:sz w:val="20"/>
        </w:rPr>
        <w:t xml:space="preserve">Proposal </w:t>
      </w:r>
      <w:r>
        <w:rPr>
          <w:b/>
          <w:bCs/>
          <w:i/>
          <w:iCs/>
          <w:sz w:val="20"/>
        </w:rPr>
        <w:t>2-2-5</w:t>
      </w:r>
      <w:r>
        <w:rPr>
          <w:rFonts w:hint="eastAsia"/>
          <w:i/>
          <w:iCs/>
          <w:sz w:val="20"/>
        </w:rPr>
        <w:t xml:space="preserve">: To reduce deployment cost, ensure UL coverage and save NW energy cost, </w:t>
      </w:r>
      <w:r>
        <w:rPr>
          <w:i/>
          <w:iCs/>
          <w:sz w:val="20"/>
        </w:rPr>
        <w:t xml:space="preserve">6GR evaluation should consider </w:t>
      </w:r>
      <w:r>
        <w:rPr>
          <w:rFonts w:hint="eastAsia"/>
          <w:i/>
          <w:iCs/>
          <w:sz w:val="20"/>
        </w:rPr>
        <w:t xml:space="preserve">the new architecture of DL-TRP and UL-TRP decoupling, i.e., asymmetric DL </w:t>
      </w:r>
      <w:proofErr w:type="spellStart"/>
      <w:r>
        <w:rPr>
          <w:rFonts w:hint="eastAsia"/>
          <w:i/>
          <w:iCs/>
          <w:sz w:val="20"/>
        </w:rPr>
        <w:t>sTRP</w:t>
      </w:r>
      <w:proofErr w:type="spellEnd"/>
      <w:r>
        <w:rPr>
          <w:rFonts w:hint="eastAsia"/>
          <w:i/>
          <w:iCs/>
          <w:sz w:val="20"/>
        </w:rPr>
        <w:t xml:space="preserve">/UL </w:t>
      </w:r>
      <w:proofErr w:type="spellStart"/>
      <w:r>
        <w:rPr>
          <w:rFonts w:hint="eastAsia"/>
          <w:i/>
          <w:iCs/>
          <w:sz w:val="20"/>
        </w:rPr>
        <w:t>mTRP</w:t>
      </w:r>
      <w:proofErr w:type="spellEnd"/>
      <w:r>
        <w:rPr>
          <w:i/>
          <w:iCs/>
          <w:sz w:val="20"/>
        </w:rPr>
        <w:t>.</w:t>
      </w:r>
    </w:p>
    <w:p w:rsidR="0048332A" w:rsidRDefault="008337A7">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Link-level simulation assumption</w:t>
      </w:r>
    </w:p>
    <w:p w:rsidR="0048332A" w:rsidRDefault="008337A7">
      <w:pPr>
        <w:overflowPunct w:val="0"/>
        <w:autoSpaceDE w:val="0"/>
        <w:autoSpaceDN w:val="0"/>
        <w:adjustRightInd w:val="0"/>
        <w:snapToGrid w:val="0"/>
        <w:spacing w:beforeLines="50" w:before="120" w:afterLines="50" w:after="120"/>
        <w:jc w:val="both"/>
        <w:textAlignment w:val="baseline"/>
        <w:rPr>
          <w:sz w:val="20"/>
        </w:rPr>
      </w:pPr>
      <w:r>
        <w:rPr>
          <w:rFonts w:hint="eastAsia"/>
          <w:sz w:val="20"/>
        </w:rPr>
        <w:t>Lin</w:t>
      </w:r>
      <w:r>
        <w:rPr>
          <w:sz w:val="20"/>
        </w:rPr>
        <w:t xml:space="preserve">k-level simulations can be utilized to evaluate some physical layer technologies of 6GR, which can be divided into two phases. In the first phase, fundamental schemes including waveform, </w:t>
      </w:r>
      <w:r>
        <w:rPr>
          <w:rFonts w:hint="eastAsia"/>
          <w:sz w:val="20"/>
        </w:rPr>
        <w:t xml:space="preserve">modulation, </w:t>
      </w:r>
      <w:r>
        <w:rPr>
          <w:sz w:val="20"/>
        </w:rPr>
        <w:t xml:space="preserve">multiple access, and channel coding should be determined. Besides for consideration on the additional parameter(s) as mentioned in Section 2.2 (e.g., BS/UE antenna modeling, </w:t>
      </w:r>
      <w:proofErr w:type="spellStart"/>
      <w:r>
        <w:rPr>
          <w:sz w:val="20"/>
        </w:rPr>
        <w:t>etc</w:t>
      </w:r>
      <w:proofErr w:type="spellEnd"/>
      <w:r>
        <w:rPr>
          <w:sz w:val="20"/>
        </w:rPr>
        <w:t>), the simulation evaluation can use NR schemes as a starting point, focusing on metrics such as spectral efficiency and BLER. Additionally, some AI/ML-</w:t>
      </w:r>
      <w:r>
        <w:rPr>
          <w:rFonts w:hint="eastAsia"/>
          <w:sz w:val="20"/>
        </w:rPr>
        <w:t xml:space="preserve">based functionalities </w:t>
      </w:r>
      <w:r>
        <w:rPr>
          <w:sz w:val="20"/>
        </w:rPr>
        <w:t>can be considered in this phase, for example, AI-assisted constellation design.</w:t>
      </w:r>
    </w:p>
    <w:p w:rsidR="0048332A" w:rsidRDefault="008337A7">
      <w:pPr>
        <w:overflowPunct w:val="0"/>
        <w:autoSpaceDE w:val="0"/>
        <w:autoSpaceDN w:val="0"/>
        <w:adjustRightInd w:val="0"/>
        <w:snapToGrid w:val="0"/>
        <w:spacing w:beforeLines="50" w:before="120" w:afterLines="50" w:after="120"/>
        <w:jc w:val="both"/>
        <w:textAlignment w:val="baseline"/>
        <w:rPr>
          <w:sz w:val="20"/>
        </w:rPr>
      </w:pPr>
      <w:r>
        <w:rPr>
          <w:sz w:val="20"/>
        </w:rPr>
        <w:t xml:space="preserve">After determining the above fundamental physical layer functions, the second phase should evaluate whether technical combinations can meet performance requirements for different scenario demands. For example, to support immersive multimedia services, 6GR needs to support more layer transmissions, and corresponding reference signals such as DM-RS and CSI-RS need to be enhanced. Furthermore, to ensure reception performance, we believe advanced receivers are very important, and so, besides for legacy MMSE-IRC, </w:t>
      </w:r>
      <w:r>
        <w:rPr>
          <w:rFonts w:hint="eastAsia"/>
          <w:sz w:val="20"/>
        </w:rPr>
        <w:t xml:space="preserve">R-ML </w:t>
      </w:r>
      <w:r>
        <w:rPr>
          <w:sz w:val="20"/>
        </w:rPr>
        <w:t>(Reduced-Maximum Likelihood) demodulation schemes can be considered in downlink evaluation.</w:t>
      </w:r>
    </w:p>
    <w:p w:rsidR="0048332A" w:rsidRDefault="008337A7">
      <w:pPr>
        <w:overflowPunct w:val="0"/>
        <w:autoSpaceDE w:val="0"/>
        <w:autoSpaceDN w:val="0"/>
        <w:adjustRightInd w:val="0"/>
        <w:snapToGrid w:val="0"/>
        <w:spacing w:beforeLines="50" w:before="120" w:afterLines="50" w:after="120"/>
        <w:jc w:val="both"/>
        <w:textAlignment w:val="baseline"/>
        <w:rPr>
          <w:sz w:val="20"/>
        </w:rPr>
      </w:pPr>
      <w:r>
        <w:rPr>
          <w:sz w:val="20"/>
        </w:rPr>
        <w:t>The basic idea of R-ML is to traverse candidate constellation points only within a limited hypersphere space, greatly reducing the complexity compared to the ML algorithm that traverses the entire space. This approach can be implemented within current receiver hardware computing capabilities. Compared to the MMSE scheme, the R-ML algorithm can significantly improve demodulation performance and BLER, and should serve as the starting point for 6GR evaluation. It should be noted that during MU-MIMO simulation, the target UE needs to obtain channel information and MCS of paired UEs during demodulation.</w:t>
      </w:r>
    </w:p>
    <w:p w:rsidR="0048332A" w:rsidRDefault="008337A7">
      <w:pPr>
        <w:overflowPunct w:val="0"/>
        <w:autoSpaceDE w:val="0"/>
        <w:autoSpaceDN w:val="0"/>
        <w:adjustRightInd w:val="0"/>
        <w:spacing w:beforeLines="50" w:before="120" w:after="120" w:line="300" w:lineRule="auto"/>
        <w:jc w:val="both"/>
        <w:textAlignment w:val="baseline"/>
        <w:rPr>
          <w:bCs/>
          <w:i/>
          <w:sz w:val="20"/>
          <w:szCs w:val="20"/>
        </w:rPr>
      </w:pPr>
      <w:r>
        <w:rPr>
          <w:b/>
          <w:i/>
          <w:sz w:val="20"/>
          <w:szCs w:val="20"/>
        </w:rPr>
        <w:t>Proposal</w:t>
      </w:r>
      <w:r>
        <w:rPr>
          <w:rFonts w:hint="eastAsia"/>
          <w:b/>
          <w:i/>
          <w:sz w:val="20"/>
          <w:szCs w:val="20"/>
        </w:rPr>
        <w:t xml:space="preserve"> </w:t>
      </w:r>
      <w:r>
        <w:rPr>
          <w:b/>
          <w:i/>
          <w:sz w:val="20"/>
          <w:szCs w:val="20"/>
        </w:rPr>
        <w:t xml:space="preserve">2-3: </w:t>
      </w:r>
      <w:r>
        <w:rPr>
          <w:rFonts w:hint="eastAsia"/>
          <w:bCs/>
          <w:i/>
          <w:sz w:val="20"/>
          <w:szCs w:val="20"/>
        </w:rPr>
        <w:t>6GR evaluation should consider</w:t>
      </w:r>
      <w:r>
        <w:rPr>
          <w:bCs/>
          <w:i/>
          <w:sz w:val="20"/>
          <w:szCs w:val="20"/>
        </w:rPr>
        <w:t xml:space="preserve"> 5G-NR link-level simulation assumption as a starting point besides for newly introduced BS/UE antenna models, etc.</w:t>
      </w:r>
    </w:p>
    <w:p w:rsidR="0048332A" w:rsidRDefault="008337A7">
      <w:pPr>
        <w:pStyle w:val="ListParagraph"/>
        <w:numPr>
          <w:ilvl w:val="0"/>
          <w:numId w:val="11"/>
        </w:numPr>
        <w:overflowPunct w:val="0"/>
        <w:autoSpaceDE w:val="0"/>
        <w:autoSpaceDN w:val="0"/>
        <w:adjustRightInd w:val="0"/>
        <w:spacing w:beforeLines="50" w:before="120" w:after="120" w:line="300" w:lineRule="auto"/>
        <w:ind w:leftChars="0"/>
        <w:jc w:val="both"/>
        <w:textAlignment w:val="baseline"/>
        <w:rPr>
          <w:rFonts w:ascii="Times New Roman" w:hAnsi="Times New Roman"/>
          <w:szCs w:val="20"/>
        </w:rPr>
      </w:pPr>
      <w:r>
        <w:rPr>
          <w:rFonts w:ascii="Times New Roman" w:eastAsia="宋体" w:hAnsi="Times New Roman"/>
          <w:bCs/>
          <w:i/>
          <w:szCs w:val="20"/>
          <w:lang w:val="en-US"/>
        </w:rPr>
        <w:t>Regarding</w:t>
      </w:r>
      <w:r>
        <w:rPr>
          <w:rFonts w:ascii="Times New Roman" w:hAnsi="Times New Roman"/>
          <w:bCs/>
          <w:i/>
          <w:szCs w:val="20"/>
        </w:rPr>
        <w:t xml:space="preserve"> receiver type, both MMSE-IRC and R-ML algorithms for downlink reception should be considered.</w:t>
      </w:r>
    </w:p>
    <w:p w:rsidR="0048332A" w:rsidRPr="00453965" w:rsidRDefault="008337A7">
      <w:pPr>
        <w:numPr>
          <w:ilvl w:val="0"/>
          <w:numId w:val="1"/>
        </w:numPr>
        <w:tabs>
          <w:tab w:val="clear" w:pos="432"/>
        </w:tabs>
        <w:snapToGrid w:val="0"/>
        <w:spacing w:before="240" w:afterLines="50" w:after="120"/>
        <w:ind w:left="425" w:hanging="425"/>
        <w:jc w:val="both"/>
        <w:outlineLvl w:val="0"/>
        <w:rPr>
          <w:b/>
          <w:sz w:val="24"/>
          <w:szCs w:val="28"/>
        </w:rPr>
      </w:pPr>
      <w:r w:rsidRPr="00453965">
        <w:rPr>
          <w:b/>
          <w:sz w:val="24"/>
          <w:szCs w:val="28"/>
        </w:rPr>
        <w:t>Evaluation assumptions on specific use cases</w:t>
      </w:r>
    </w:p>
    <w:p w:rsidR="0048332A" w:rsidRDefault="008337A7">
      <w:pPr>
        <w:numPr>
          <w:ilvl w:val="255"/>
          <w:numId w:val="0"/>
        </w:numPr>
        <w:overflowPunct w:val="0"/>
        <w:autoSpaceDE w:val="0"/>
        <w:autoSpaceDN w:val="0"/>
        <w:adjustRightInd w:val="0"/>
        <w:snapToGrid w:val="0"/>
        <w:spacing w:beforeLines="50" w:before="120" w:afterLines="50" w:after="120"/>
        <w:jc w:val="both"/>
        <w:textAlignment w:val="baseline"/>
        <w:rPr>
          <w:sz w:val="20"/>
        </w:rPr>
      </w:pPr>
      <w:r>
        <w:rPr>
          <w:sz w:val="20"/>
          <w:lang w:eastAsia="ko-KR"/>
        </w:rPr>
        <w:t>In addition to the general evaluation methodologies discussed in Section 2, this section explores additional simulation assumptions tailored to specific use cases</w:t>
      </w:r>
      <w:r>
        <w:rPr>
          <w:rFonts w:hint="eastAsia"/>
          <w:sz w:val="20"/>
        </w:rPr>
        <w:t xml:space="preserve"> including energy efficiency, sensing, etc.</w:t>
      </w:r>
    </w:p>
    <w:p w:rsidR="0048332A" w:rsidRDefault="008337A7">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Energy efficiency</w:t>
      </w:r>
    </w:p>
    <w:p w:rsidR="0048332A" w:rsidRDefault="008337A7">
      <w:pPr>
        <w:overflowPunct w:val="0"/>
        <w:autoSpaceDE w:val="0"/>
        <w:autoSpaceDN w:val="0"/>
        <w:adjustRightInd w:val="0"/>
        <w:snapToGrid w:val="0"/>
        <w:spacing w:beforeLines="50" w:before="120" w:afterLines="50" w:after="120"/>
        <w:jc w:val="both"/>
        <w:textAlignment w:val="baseline"/>
        <w:rPr>
          <w:rFonts w:eastAsia="Malgun Gothic"/>
          <w:sz w:val="20"/>
          <w:lang w:eastAsia="ko-KR"/>
        </w:rPr>
      </w:pPr>
      <w:r>
        <w:rPr>
          <w:rFonts w:eastAsia="Malgun Gothic" w:hint="eastAsia"/>
          <w:sz w:val="20"/>
          <w:lang w:eastAsia="ko-KR"/>
        </w:rPr>
        <w:t>The development of 6G is driven by the increasing demands and technological advancements in the coming decade. 6G networks aim to provide not only higher throughput, lower latency, and enhanced coverage but also the capability to connect more devices. Therefore, to enable of existing and new services, 6G may introduce new scenarios, new topologies, and new frequency bands.</w:t>
      </w:r>
    </w:p>
    <w:p w:rsidR="0048332A" w:rsidRDefault="008337A7">
      <w:pPr>
        <w:overflowPunct w:val="0"/>
        <w:autoSpaceDE w:val="0"/>
        <w:autoSpaceDN w:val="0"/>
        <w:adjustRightInd w:val="0"/>
        <w:snapToGrid w:val="0"/>
        <w:spacing w:beforeLines="50" w:before="120" w:afterLines="50" w:after="120"/>
        <w:jc w:val="both"/>
        <w:textAlignment w:val="baseline"/>
        <w:rPr>
          <w:rFonts w:eastAsia="Malgun Gothic"/>
          <w:sz w:val="20"/>
          <w:lang w:eastAsia="ko-KR"/>
        </w:rPr>
      </w:pPr>
      <w:r>
        <w:rPr>
          <w:rFonts w:eastAsia="Malgun Gothic" w:hint="eastAsia"/>
          <w:sz w:val="20"/>
          <w:lang w:eastAsia="ko-KR"/>
        </w:rPr>
        <w:lastRenderedPageBreak/>
        <w:t>Given that energy efficiency is a critical metric for 6G, to assess the energy efficiency and benefits of various energy saving techniques, both UE and network power consumption model are necessary and discussed as outlined below.</w:t>
      </w:r>
    </w:p>
    <w:p w:rsidR="0048332A" w:rsidRDefault="008337A7">
      <w:pPr>
        <w:numPr>
          <w:ilvl w:val="2"/>
          <w:numId w:val="1"/>
        </w:numPr>
        <w:snapToGrid w:val="0"/>
        <w:spacing w:before="240" w:afterLines="50" w:after="120"/>
        <w:ind w:left="0" w:firstLine="0"/>
        <w:jc w:val="both"/>
        <w:outlineLvl w:val="2"/>
        <w:rPr>
          <w:b/>
          <w:szCs w:val="28"/>
        </w:rPr>
      </w:pPr>
      <w:r>
        <w:rPr>
          <w:b/>
          <w:szCs w:val="28"/>
        </w:rPr>
        <w:t>Power consumption model</w:t>
      </w:r>
    </w:p>
    <w:p w:rsidR="0048332A" w:rsidRDefault="008337A7">
      <w:pPr>
        <w:spacing w:beforeLines="50" w:before="120" w:afterLines="50" w:after="120" w:line="20" w:lineRule="atLeast"/>
        <w:rPr>
          <w:sz w:val="20"/>
          <w:szCs w:val="20"/>
        </w:rPr>
      </w:pPr>
      <w:r>
        <w:rPr>
          <w:rFonts w:hint="eastAsia"/>
          <w:sz w:val="20"/>
        </w:rPr>
        <w:t>The power consumption model is beneficial for the provision of in-depth understanding of different energy saving techniques. The absolute BS/UE power consumption measured in Joules, depends on numerous implementation-specific details. To streamline analysis, a relative UE power consumption model was developed in Rel-16 and captured in TR38.840. Similarly, in Rel-18, two categories of BS power consumption model are captured in TR38.864 and companies need to report the power consumption model used in the evaluation. To simplify the evaluations of energy saving techniques and standardization work, a unified UE/BS relative power consumption model should be considered.</w:t>
      </w:r>
    </w:p>
    <w:p w:rsidR="0048332A" w:rsidRDefault="008337A7">
      <w:pPr>
        <w:overflowPunct w:val="0"/>
        <w:autoSpaceDE w:val="0"/>
        <w:autoSpaceDN w:val="0"/>
        <w:adjustRightInd w:val="0"/>
        <w:spacing w:beforeLines="50" w:before="120" w:after="120" w:line="300" w:lineRule="auto"/>
        <w:jc w:val="both"/>
        <w:textAlignment w:val="baseline"/>
        <w:rPr>
          <w:bCs/>
          <w:i/>
          <w:sz w:val="20"/>
          <w:szCs w:val="20"/>
        </w:rPr>
      </w:pPr>
      <w:r>
        <w:rPr>
          <w:b/>
          <w:i/>
          <w:sz w:val="20"/>
          <w:szCs w:val="20"/>
        </w:rPr>
        <w:t>Proposal</w:t>
      </w:r>
      <w:r>
        <w:rPr>
          <w:rFonts w:hint="eastAsia"/>
          <w:b/>
          <w:i/>
          <w:sz w:val="20"/>
          <w:szCs w:val="20"/>
        </w:rPr>
        <w:t xml:space="preserve"> </w:t>
      </w:r>
      <w:r>
        <w:rPr>
          <w:b/>
          <w:i/>
          <w:sz w:val="20"/>
          <w:szCs w:val="20"/>
        </w:rPr>
        <w:t xml:space="preserve">3-1-1: </w:t>
      </w:r>
      <w:r>
        <w:rPr>
          <w:bCs/>
          <w:i/>
          <w:sz w:val="20"/>
          <w:szCs w:val="20"/>
        </w:rPr>
        <w:t>A unified UE/BS relative power consumption model can be used as a starting point for 6GR evaluation.</w:t>
      </w:r>
    </w:p>
    <w:p w:rsidR="0048332A" w:rsidRDefault="008337A7">
      <w:pPr>
        <w:snapToGrid w:val="0"/>
        <w:spacing w:beforeLines="50" w:before="120" w:afterLines="50" w:after="120"/>
        <w:jc w:val="both"/>
        <w:rPr>
          <w:sz w:val="20"/>
          <w:szCs w:val="20"/>
        </w:rPr>
      </w:pPr>
      <w:r>
        <w:rPr>
          <w:rFonts w:hint="eastAsia"/>
          <w:sz w:val="20"/>
          <w:szCs w:val="20"/>
        </w:rPr>
        <w:t>In both TR38.840 and TR38.864</w:t>
      </w:r>
      <w:r>
        <w:rPr>
          <w:sz w:val="20"/>
          <w:szCs w:val="20"/>
        </w:rPr>
        <w:t xml:space="preserve"> </w:t>
      </w:r>
      <w:r>
        <w:rPr>
          <w:sz w:val="20"/>
          <w:szCs w:val="20"/>
        </w:rPr>
        <w:fldChar w:fldCharType="begin"/>
      </w:r>
      <w:r>
        <w:rPr>
          <w:sz w:val="20"/>
          <w:szCs w:val="20"/>
        </w:rPr>
        <w:instrText xml:space="preserve"> REF _Ref205924678 \n \h </w:instrText>
      </w:r>
      <w:r>
        <w:rPr>
          <w:sz w:val="20"/>
          <w:szCs w:val="20"/>
        </w:rPr>
      </w:r>
      <w:r>
        <w:rPr>
          <w:sz w:val="20"/>
          <w:szCs w:val="20"/>
        </w:rPr>
        <w:fldChar w:fldCharType="separate"/>
      </w:r>
      <w:r w:rsidR="00FD4494">
        <w:rPr>
          <w:sz w:val="20"/>
          <w:szCs w:val="20"/>
        </w:rPr>
        <w:t>[9]</w:t>
      </w:r>
      <w:r>
        <w:rPr>
          <w:sz w:val="20"/>
          <w:szCs w:val="20"/>
        </w:rPr>
        <w:fldChar w:fldCharType="end"/>
      </w:r>
      <w:r>
        <w:rPr>
          <w:rFonts w:hint="eastAsia"/>
          <w:sz w:val="20"/>
          <w:szCs w:val="20"/>
        </w:rPr>
        <w:t>, it can be observed that the relative power consumption values of different states are derived from different reference configurations, which comprises key parameters, such as SCS, system bandwidth, number of Rx and Tx chains, etc. In addition, the scaling method for non-sleep mode are introduced considering adaptation in time domain (e.g., occupied symbols), frequency domain (e.g., occupied BW/RB, number of CC), spatial domain (e.g., number of antennas/TRPs) and power domains (e.g., PSD/transmission power).</w:t>
      </w:r>
    </w:p>
    <w:p w:rsidR="0048332A" w:rsidRDefault="008337A7">
      <w:pPr>
        <w:snapToGrid w:val="0"/>
        <w:spacing w:beforeLines="50" w:before="120" w:afterLines="50" w:after="120"/>
        <w:jc w:val="both"/>
        <w:rPr>
          <w:sz w:val="20"/>
          <w:szCs w:val="20"/>
        </w:rPr>
      </w:pPr>
      <w:r>
        <w:rPr>
          <w:rFonts w:hint="eastAsia"/>
          <w:sz w:val="20"/>
          <w:szCs w:val="20"/>
        </w:rPr>
        <w:t>Therefore, similar with the power consumption model in 5G, aspects such as reference configuration, power states, relative power of each state and the scaling method should be considered in the 6GR UE/BS power consumption model</w:t>
      </w:r>
      <w:r>
        <w:rPr>
          <w:sz w:val="20"/>
          <w:szCs w:val="20"/>
        </w:rPr>
        <w:t>.</w:t>
      </w:r>
    </w:p>
    <w:p w:rsidR="0048332A" w:rsidRDefault="008337A7">
      <w:pPr>
        <w:pStyle w:val="YJ-Proposal"/>
        <w:numPr>
          <w:ilvl w:val="0"/>
          <w:numId w:val="0"/>
        </w:numPr>
        <w:snapToGrid w:val="0"/>
        <w:spacing w:before="120" w:after="120" w:line="240" w:lineRule="auto"/>
        <w:jc w:val="both"/>
        <w:rPr>
          <w:b w:val="0"/>
        </w:rPr>
      </w:pPr>
      <w:r>
        <w:t>Proposal</w:t>
      </w:r>
      <w:r>
        <w:rPr>
          <w:rFonts w:hint="eastAsia"/>
        </w:rPr>
        <w:t xml:space="preserve"> </w:t>
      </w:r>
      <w:r>
        <w:t xml:space="preserve">3-1-2: </w:t>
      </w:r>
      <w:r>
        <w:rPr>
          <w:b w:val="0"/>
        </w:rPr>
        <w:t>To derive a</w:t>
      </w:r>
      <w:r>
        <w:rPr>
          <w:rFonts w:hint="eastAsia"/>
          <w:b w:val="0"/>
          <w:lang w:val="en-US" w:eastAsia="zh-CN"/>
        </w:rPr>
        <w:t xml:space="preserve"> 6GR</w:t>
      </w:r>
      <w:r>
        <w:rPr>
          <w:b w:val="0"/>
        </w:rPr>
        <w:t xml:space="preserve"> relative </w:t>
      </w:r>
      <w:r>
        <w:rPr>
          <w:rFonts w:hint="eastAsia"/>
          <w:b w:val="0"/>
          <w:lang w:val="en-US" w:eastAsia="zh-CN"/>
        </w:rPr>
        <w:t xml:space="preserve">UE/BS </w:t>
      </w:r>
      <w:r>
        <w:rPr>
          <w:b w:val="0"/>
        </w:rPr>
        <w:t xml:space="preserve">energy consumption model, the following </w:t>
      </w:r>
      <w:r>
        <w:rPr>
          <w:rFonts w:hint="eastAsia"/>
          <w:b w:val="0"/>
          <w:lang w:val="en-US" w:eastAsia="zh-CN"/>
        </w:rPr>
        <w:t>aspect</w:t>
      </w:r>
      <w:r>
        <w:rPr>
          <w:b w:val="0"/>
        </w:rPr>
        <w:t xml:space="preserve">s </w:t>
      </w:r>
      <w:r>
        <w:rPr>
          <w:rFonts w:hint="eastAsia"/>
          <w:b w:val="0"/>
          <w:lang w:val="en-US" w:eastAsia="zh-CN"/>
        </w:rPr>
        <w:t>should</w:t>
      </w:r>
      <w:r>
        <w:rPr>
          <w:b w:val="0"/>
        </w:rPr>
        <w:t xml:space="preserve"> be considered:</w:t>
      </w:r>
    </w:p>
    <w:p w:rsidR="0048332A" w:rsidRDefault="008337A7">
      <w:pPr>
        <w:pStyle w:val="ListParagraph"/>
        <w:numPr>
          <w:ilvl w:val="0"/>
          <w:numId w:val="11"/>
        </w:numPr>
        <w:overflowPunct w:val="0"/>
        <w:autoSpaceDE w:val="0"/>
        <w:autoSpaceDN w:val="0"/>
        <w:adjustRightInd w:val="0"/>
        <w:spacing w:beforeLines="50" w:before="120" w:afterLines="50" w:after="120"/>
        <w:ind w:leftChars="0" w:left="363" w:hanging="363"/>
        <w:jc w:val="both"/>
        <w:textAlignment w:val="baseline"/>
        <w:rPr>
          <w:rFonts w:ascii="Times New Roman" w:hAnsi="Times New Roman"/>
          <w:bCs/>
          <w:i/>
          <w:szCs w:val="20"/>
        </w:rPr>
      </w:pPr>
      <w:r>
        <w:rPr>
          <w:rFonts w:ascii="Times New Roman" w:hAnsi="Times New Roman"/>
          <w:bCs/>
          <w:i/>
          <w:szCs w:val="20"/>
        </w:rPr>
        <w:t>Reference configurations;</w:t>
      </w:r>
    </w:p>
    <w:p w:rsidR="0048332A" w:rsidRDefault="008337A7">
      <w:pPr>
        <w:pStyle w:val="ListParagraph"/>
        <w:numPr>
          <w:ilvl w:val="0"/>
          <w:numId w:val="11"/>
        </w:numPr>
        <w:overflowPunct w:val="0"/>
        <w:autoSpaceDE w:val="0"/>
        <w:autoSpaceDN w:val="0"/>
        <w:adjustRightInd w:val="0"/>
        <w:spacing w:beforeLines="50" w:before="120" w:afterLines="50" w:after="120"/>
        <w:ind w:leftChars="0" w:left="363" w:hanging="363"/>
        <w:jc w:val="both"/>
        <w:textAlignment w:val="baseline"/>
        <w:rPr>
          <w:rFonts w:ascii="Times New Roman" w:hAnsi="Times New Roman"/>
          <w:bCs/>
          <w:i/>
          <w:szCs w:val="20"/>
        </w:rPr>
      </w:pPr>
      <w:r>
        <w:rPr>
          <w:rFonts w:ascii="Times New Roman" w:hAnsi="Times New Roman"/>
          <w:bCs/>
          <w:i/>
          <w:szCs w:val="20"/>
        </w:rPr>
        <w:t>Different power states and relative power;</w:t>
      </w:r>
    </w:p>
    <w:p w:rsidR="0048332A" w:rsidRDefault="008337A7">
      <w:pPr>
        <w:pStyle w:val="ListParagraph"/>
        <w:numPr>
          <w:ilvl w:val="0"/>
          <w:numId w:val="11"/>
        </w:numPr>
        <w:overflowPunct w:val="0"/>
        <w:autoSpaceDE w:val="0"/>
        <w:autoSpaceDN w:val="0"/>
        <w:adjustRightInd w:val="0"/>
        <w:spacing w:beforeLines="50" w:before="120" w:afterLines="50" w:after="120"/>
        <w:ind w:leftChars="0" w:left="363" w:hanging="363"/>
        <w:jc w:val="both"/>
        <w:textAlignment w:val="baseline"/>
        <w:rPr>
          <w:rFonts w:ascii="Times New Roman" w:hAnsi="Times New Roman"/>
          <w:bCs/>
          <w:i/>
          <w:szCs w:val="20"/>
        </w:rPr>
      </w:pPr>
      <w:r>
        <w:rPr>
          <w:rFonts w:ascii="Times New Roman" w:hAnsi="Times New Roman"/>
          <w:bCs/>
          <w:i/>
          <w:szCs w:val="20"/>
        </w:rPr>
        <w:t>Scaling methods for adaptation</w:t>
      </w:r>
      <w:r>
        <w:rPr>
          <w:rFonts w:asciiTheme="minorEastAsia" w:eastAsiaTheme="minorEastAsia" w:hAnsiTheme="minorEastAsia"/>
          <w:bCs/>
          <w:i/>
          <w:szCs w:val="20"/>
          <w:lang w:val="en-US"/>
        </w:rPr>
        <w:t>.</w:t>
      </w:r>
    </w:p>
    <w:p w:rsidR="0048332A" w:rsidRDefault="008337A7">
      <w:pPr>
        <w:pStyle w:val="Heading4"/>
        <w:tabs>
          <w:tab w:val="left" w:pos="720"/>
        </w:tabs>
        <w:snapToGrid w:val="0"/>
        <w:spacing w:before="240" w:afterLines="50" w:after="120"/>
        <w:jc w:val="both"/>
        <w:rPr>
          <w:b/>
          <w:sz w:val="22"/>
        </w:rPr>
      </w:pPr>
      <w:r>
        <w:rPr>
          <w:rFonts w:hint="eastAsia"/>
          <w:b/>
          <w:sz w:val="22"/>
        </w:rPr>
        <w:t xml:space="preserve">3.1.1.1 </w:t>
      </w:r>
      <w:r>
        <w:rPr>
          <w:b/>
          <w:sz w:val="22"/>
        </w:rPr>
        <w:t>BS power consumption model</w:t>
      </w:r>
    </w:p>
    <w:p w:rsidR="0048332A" w:rsidRDefault="008337A7">
      <w:pPr>
        <w:numPr>
          <w:ilvl w:val="0"/>
          <w:numId w:val="12"/>
        </w:numPr>
        <w:snapToGrid w:val="0"/>
        <w:spacing w:beforeLines="50" w:before="120" w:afterLines="50" w:after="120"/>
        <w:jc w:val="both"/>
        <w:rPr>
          <w:b/>
          <w:bCs/>
          <w:sz w:val="20"/>
          <w:szCs w:val="20"/>
        </w:rPr>
      </w:pPr>
      <w:r>
        <w:rPr>
          <w:b/>
          <w:bCs/>
          <w:sz w:val="20"/>
          <w:szCs w:val="20"/>
        </w:rPr>
        <w:t>Reference configurations for 6GR BS</w:t>
      </w:r>
    </w:p>
    <w:p w:rsidR="0048332A" w:rsidRDefault="008337A7">
      <w:pPr>
        <w:spacing w:beforeLines="50" w:before="120" w:afterLines="50" w:after="120"/>
        <w:rPr>
          <w:sz w:val="20"/>
          <w:szCs w:val="20"/>
        </w:rPr>
      </w:pPr>
      <w:r>
        <w:rPr>
          <w:rFonts w:hint="eastAsia"/>
          <w:sz w:val="20"/>
          <w:szCs w:val="20"/>
        </w:rPr>
        <w:t xml:space="preserve">To align the evaluation results of different companies, the reference configurations need to be determined when establishing a </w:t>
      </w:r>
      <w:r>
        <w:rPr>
          <w:sz w:val="20"/>
          <w:szCs w:val="20"/>
        </w:rPr>
        <w:t>BS</w:t>
      </w:r>
      <w:r>
        <w:rPr>
          <w:rFonts w:hint="eastAsia"/>
          <w:sz w:val="20"/>
          <w:szCs w:val="20"/>
        </w:rPr>
        <w:t xml:space="preserve"> power consumption model. For the reference configuration, all configurations in time, frequency, power and spatial domains should be considered. For example, parameters including the system bandwidth, the number of carriers, the sub-carrier spacing, and the antenna configuration of the </w:t>
      </w:r>
      <w:r>
        <w:rPr>
          <w:sz w:val="20"/>
          <w:szCs w:val="20"/>
        </w:rPr>
        <w:t>BS</w:t>
      </w:r>
      <w:r>
        <w:rPr>
          <w:rFonts w:hint="eastAsia"/>
          <w:sz w:val="20"/>
          <w:szCs w:val="20"/>
        </w:rPr>
        <w:t>, etc. should be clarified.</w:t>
      </w:r>
    </w:p>
    <w:p w:rsidR="0048332A" w:rsidRDefault="008337A7">
      <w:pPr>
        <w:snapToGrid w:val="0"/>
        <w:spacing w:beforeLines="50" w:before="120" w:afterLines="50" w:after="120"/>
        <w:jc w:val="both"/>
        <w:rPr>
          <w:sz w:val="20"/>
          <w:szCs w:val="20"/>
        </w:rPr>
      </w:pPr>
      <w:r>
        <w:rPr>
          <w:rFonts w:hint="eastAsia"/>
          <w:sz w:val="20"/>
          <w:szCs w:val="20"/>
        </w:rPr>
        <w:t>For NR BS power consumption model, three s</w:t>
      </w:r>
      <w:r>
        <w:rPr>
          <w:sz w:val="20"/>
          <w:szCs w:val="20"/>
        </w:rPr>
        <w:t xml:space="preserve">ets of reference configurations are provided, corresponding to the FR1 with TDD, FR1 with FDD and FR2 with TDD </w:t>
      </w:r>
      <w:r>
        <w:rPr>
          <w:sz w:val="20"/>
          <w:szCs w:val="20"/>
        </w:rPr>
        <w:fldChar w:fldCharType="begin"/>
      </w:r>
      <w:r>
        <w:rPr>
          <w:sz w:val="20"/>
          <w:szCs w:val="20"/>
        </w:rPr>
        <w:instrText xml:space="preserve"> REF _Ref205924678 \n \h </w:instrText>
      </w:r>
      <w:r>
        <w:rPr>
          <w:sz w:val="20"/>
          <w:szCs w:val="20"/>
        </w:rPr>
      </w:r>
      <w:r>
        <w:rPr>
          <w:sz w:val="20"/>
          <w:szCs w:val="20"/>
        </w:rPr>
        <w:fldChar w:fldCharType="separate"/>
      </w:r>
      <w:r w:rsidR="00FD4494">
        <w:rPr>
          <w:sz w:val="20"/>
          <w:szCs w:val="20"/>
        </w:rPr>
        <w:t>[9]</w:t>
      </w:r>
      <w:r>
        <w:rPr>
          <w:sz w:val="20"/>
          <w:szCs w:val="20"/>
        </w:rPr>
        <w:fldChar w:fldCharType="end"/>
      </w:r>
      <w:r>
        <w:rPr>
          <w:sz w:val="20"/>
          <w:szCs w:val="20"/>
        </w:rPr>
        <w:t xml:space="preserve">. In </w:t>
      </w:r>
      <w:r>
        <w:rPr>
          <w:sz w:val="20"/>
          <w:szCs w:val="20"/>
        </w:rPr>
        <w:fldChar w:fldCharType="begin"/>
      </w:r>
      <w:r>
        <w:rPr>
          <w:sz w:val="20"/>
          <w:szCs w:val="20"/>
        </w:rPr>
        <w:instrText xml:space="preserve"> REF _Ref205826862 \n \h </w:instrText>
      </w:r>
      <w:r>
        <w:rPr>
          <w:sz w:val="20"/>
          <w:szCs w:val="20"/>
        </w:rPr>
      </w:r>
      <w:r>
        <w:rPr>
          <w:sz w:val="20"/>
          <w:szCs w:val="20"/>
        </w:rPr>
        <w:fldChar w:fldCharType="separate"/>
      </w:r>
      <w:r w:rsidR="00FD4494">
        <w:rPr>
          <w:sz w:val="20"/>
          <w:szCs w:val="20"/>
        </w:rPr>
        <w:t>[1]</w:t>
      </w:r>
      <w:r>
        <w:rPr>
          <w:sz w:val="20"/>
          <w:szCs w:val="20"/>
        </w:rPr>
        <w:fldChar w:fldCharType="end"/>
      </w:r>
      <w:r>
        <w:rPr>
          <w:sz w:val="20"/>
          <w:szCs w:val="20"/>
        </w:rPr>
        <w:t>,</w:t>
      </w:r>
      <w:r>
        <w:rPr>
          <w:rFonts w:hint="eastAsia"/>
          <w:sz w:val="20"/>
          <w:szCs w:val="20"/>
        </w:rPr>
        <w:t xml:space="preserve"> it is stated that 6G study will address frequency ranges up to 52.6GHz, including at least the full range of FR1 (up to 7.125GHz), the range between FR1 and FR2-1 (including around ~7GHz), and FR2-1 (24.25 GHz</w:t>
      </w:r>
      <w:r>
        <w:rPr>
          <w:rFonts w:hint="eastAsia"/>
          <w:sz w:val="20"/>
          <w:szCs w:val="20"/>
        </w:rPr>
        <w:t>–</w:t>
      </w:r>
      <w:r>
        <w:rPr>
          <w:rFonts w:hint="eastAsia"/>
          <w:sz w:val="20"/>
          <w:szCs w:val="20"/>
        </w:rPr>
        <w:t>52.6GHz). Therefore, for 6GR network energy consumption evaluation, in addition to the reference configurations corresponding to FR1 and FR2, the reference configurations corresponding to FR3 (frequency range between FR1 and FR2-1) should also be considered</w:t>
      </w:r>
      <w:r>
        <w:rPr>
          <w:sz w:val="20"/>
          <w:szCs w:val="20"/>
        </w:rPr>
        <w:t>.</w:t>
      </w:r>
    </w:p>
    <w:p w:rsidR="0048332A" w:rsidRDefault="008337A7">
      <w:pPr>
        <w:snapToGrid w:val="0"/>
        <w:spacing w:beforeLines="50" w:before="120" w:afterLines="50" w:after="120"/>
        <w:rPr>
          <w:sz w:val="20"/>
          <w:szCs w:val="20"/>
        </w:rPr>
      </w:pPr>
      <w:r>
        <w:rPr>
          <w:b/>
          <w:i/>
          <w:sz w:val="20"/>
          <w:szCs w:val="20"/>
        </w:rPr>
        <w:t>Observation</w:t>
      </w:r>
      <w:r>
        <w:rPr>
          <w:rFonts w:hint="eastAsia"/>
          <w:b/>
          <w:i/>
          <w:sz w:val="20"/>
          <w:szCs w:val="20"/>
        </w:rPr>
        <w:t xml:space="preserve"> </w:t>
      </w:r>
      <w:r>
        <w:rPr>
          <w:b/>
          <w:i/>
          <w:sz w:val="20"/>
          <w:szCs w:val="20"/>
        </w:rPr>
        <w:t>3-1-1:</w:t>
      </w:r>
      <w:bookmarkStart w:id="2" w:name="_Toc28852"/>
      <w:r>
        <w:rPr>
          <w:b/>
          <w:i/>
          <w:sz w:val="20"/>
          <w:szCs w:val="20"/>
        </w:rPr>
        <w:t xml:space="preserve"> </w:t>
      </w:r>
      <w:r>
        <w:rPr>
          <w:rFonts w:hint="eastAsia"/>
          <w:i/>
          <w:sz w:val="20"/>
          <w:szCs w:val="20"/>
        </w:rPr>
        <w:t>FR3 (frequency range between FR1 and FR2-1) is an indispensable part of 6GR air interface evaluation.</w:t>
      </w:r>
      <w:bookmarkEnd w:id="2"/>
    </w:p>
    <w:p w:rsidR="0048332A" w:rsidRDefault="008337A7">
      <w:pPr>
        <w:snapToGrid w:val="0"/>
        <w:spacing w:beforeLines="50" w:before="120" w:afterLines="50" w:after="120"/>
        <w:rPr>
          <w:sz w:val="20"/>
          <w:szCs w:val="20"/>
        </w:rPr>
      </w:pPr>
      <w:r>
        <w:rPr>
          <w:sz w:val="20"/>
          <w:szCs w:val="20"/>
        </w:rPr>
        <w:t>Therefore, for the 6GR network energy consumption evaluation, the following reference configuration sets can be used as the starting point</w:t>
      </w:r>
    </w:p>
    <w:p w:rsidR="0048332A" w:rsidRDefault="008337A7">
      <w:pPr>
        <w:numPr>
          <w:ilvl w:val="0"/>
          <w:numId w:val="13"/>
        </w:numPr>
        <w:snapToGrid w:val="0"/>
        <w:spacing w:beforeLines="50" w:before="120" w:afterLines="50" w:after="120"/>
        <w:ind w:leftChars="200" w:left="860"/>
        <w:jc w:val="both"/>
        <w:rPr>
          <w:sz w:val="20"/>
          <w:szCs w:val="20"/>
        </w:rPr>
      </w:pPr>
      <w:r>
        <w:rPr>
          <w:sz w:val="20"/>
          <w:szCs w:val="20"/>
        </w:rPr>
        <w:t>Set 1: FR1 with TDD;</w:t>
      </w:r>
    </w:p>
    <w:p w:rsidR="0048332A" w:rsidRDefault="008337A7">
      <w:pPr>
        <w:numPr>
          <w:ilvl w:val="0"/>
          <w:numId w:val="13"/>
        </w:numPr>
        <w:snapToGrid w:val="0"/>
        <w:spacing w:beforeLines="50" w:before="120" w:afterLines="50" w:after="120"/>
        <w:ind w:leftChars="200" w:left="860"/>
        <w:jc w:val="both"/>
        <w:rPr>
          <w:sz w:val="20"/>
          <w:szCs w:val="20"/>
        </w:rPr>
      </w:pPr>
      <w:r>
        <w:rPr>
          <w:sz w:val="20"/>
          <w:szCs w:val="20"/>
        </w:rPr>
        <w:t>Set 2: FR1 with FDD;</w:t>
      </w:r>
    </w:p>
    <w:p w:rsidR="0048332A" w:rsidRDefault="008337A7">
      <w:pPr>
        <w:numPr>
          <w:ilvl w:val="0"/>
          <w:numId w:val="13"/>
        </w:numPr>
        <w:snapToGrid w:val="0"/>
        <w:spacing w:beforeLines="50" w:before="120" w:afterLines="50" w:after="120"/>
        <w:ind w:leftChars="200" w:left="860"/>
        <w:jc w:val="both"/>
        <w:rPr>
          <w:sz w:val="20"/>
          <w:szCs w:val="20"/>
        </w:rPr>
      </w:pPr>
      <w:r>
        <w:rPr>
          <w:sz w:val="20"/>
          <w:szCs w:val="20"/>
        </w:rPr>
        <w:t>Set 3: FR2 with TDD;</w:t>
      </w:r>
    </w:p>
    <w:p w:rsidR="0048332A" w:rsidRDefault="008337A7">
      <w:pPr>
        <w:numPr>
          <w:ilvl w:val="0"/>
          <w:numId w:val="13"/>
        </w:numPr>
        <w:snapToGrid w:val="0"/>
        <w:spacing w:beforeLines="50" w:before="120" w:afterLines="50" w:after="120"/>
        <w:ind w:leftChars="200" w:left="860"/>
        <w:jc w:val="both"/>
        <w:rPr>
          <w:sz w:val="20"/>
          <w:szCs w:val="20"/>
        </w:rPr>
      </w:pPr>
      <w:r>
        <w:rPr>
          <w:sz w:val="20"/>
          <w:szCs w:val="20"/>
        </w:rPr>
        <w:lastRenderedPageBreak/>
        <w:t>Set 4: FR3 with TDD;</w:t>
      </w:r>
    </w:p>
    <w:p w:rsidR="0048332A" w:rsidRDefault="008337A7">
      <w:pPr>
        <w:snapToGrid w:val="0"/>
        <w:spacing w:beforeLines="50" w:before="120" w:afterLines="50" w:after="120"/>
        <w:rPr>
          <w:sz w:val="20"/>
          <w:szCs w:val="20"/>
        </w:rPr>
      </w:pPr>
      <w:r>
        <w:rPr>
          <w:rFonts w:hint="eastAsia"/>
          <w:sz w:val="20"/>
          <w:szCs w:val="20"/>
        </w:rPr>
        <w:t xml:space="preserve">In addition, the configurations of the time domain, frequency domain, spatial domain, and power domain will affect the power consumption of the BS. Therefore, taking a carrier as an example, each set of the reference configurations should include the following configurations: system BW, SCS, number of TRP, total number of DL TX RUs, total DL power level, total number of UL Rx </w:t>
      </w:r>
      <w:proofErr w:type="spellStart"/>
      <w:r>
        <w:rPr>
          <w:rFonts w:hint="eastAsia"/>
          <w:sz w:val="20"/>
          <w:szCs w:val="20"/>
        </w:rPr>
        <w:t>RUs.</w:t>
      </w:r>
      <w:proofErr w:type="spellEnd"/>
    </w:p>
    <w:p w:rsidR="0048332A" w:rsidRDefault="008337A7">
      <w:pPr>
        <w:snapToGrid w:val="0"/>
        <w:spacing w:beforeLines="50" w:before="120" w:afterLines="50" w:after="120"/>
        <w:rPr>
          <w:sz w:val="20"/>
          <w:szCs w:val="20"/>
        </w:rPr>
      </w:pPr>
      <w:r>
        <w:rPr>
          <w:rFonts w:hint="eastAsia"/>
          <w:sz w:val="20"/>
          <w:szCs w:val="20"/>
        </w:rPr>
        <w:t>According to above analysis, the following framework for reference configuration for single CC case can be used as a starting point</w:t>
      </w:r>
      <w:r>
        <w:rPr>
          <w:sz w:val="20"/>
          <w:szCs w:val="20"/>
        </w:rPr>
        <w:t>.</w:t>
      </w:r>
    </w:p>
    <w:p w:rsidR="0048332A" w:rsidRDefault="008337A7">
      <w:pPr>
        <w:pStyle w:val="TH"/>
        <w:spacing w:before="120" w:after="120"/>
        <w:rPr>
          <w:rFonts w:ascii="Times New Roman" w:hAnsi="Times New Roman"/>
          <w:b w:val="0"/>
        </w:rPr>
      </w:pPr>
      <w:r>
        <w:rPr>
          <w:rFonts w:ascii="Times New Roman" w:hAnsi="Times New Roman"/>
        </w:rPr>
        <w:t xml:space="preserve">Table 3-1-1 </w:t>
      </w:r>
      <w:r>
        <w:rPr>
          <w:rFonts w:ascii="Times New Roman" w:hAnsi="Times New Roman"/>
          <w:b w:val="0"/>
        </w:rPr>
        <w:t>Reference configuration for BS power consumption model</w:t>
      </w:r>
    </w:p>
    <w:tbl>
      <w:tblPr>
        <w:tblW w:w="8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00"/>
        <w:gridCol w:w="1440"/>
        <w:gridCol w:w="1260"/>
        <w:gridCol w:w="1402"/>
        <w:gridCol w:w="1491"/>
      </w:tblGrid>
      <w:tr w:rsidR="0048332A">
        <w:trPr>
          <w:jc w:val="center"/>
        </w:trPr>
        <w:tc>
          <w:tcPr>
            <w:tcW w:w="2600" w:type="dxa"/>
            <w:shd w:val="clear" w:color="auto" w:fill="auto"/>
            <w:tcMar>
              <w:top w:w="0" w:type="dxa"/>
              <w:left w:w="108" w:type="dxa"/>
              <w:bottom w:w="0" w:type="dxa"/>
              <w:right w:w="108" w:type="dxa"/>
            </w:tcMar>
          </w:tcPr>
          <w:p w:rsidR="0048332A" w:rsidRDefault="0048332A">
            <w:pPr>
              <w:pStyle w:val="TAH"/>
              <w:jc w:val="both"/>
              <w:rPr>
                <w:rFonts w:ascii="Times New Roman" w:hAnsi="Times New Roman"/>
                <w:sz w:val="20"/>
              </w:rPr>
            </w:pPr>
          </w:p>
        </w:tc>
        <w:tc>
          <w:tcPr>
            <w:tcW w:w="1440" w:type="dxa"/>
            <w:shd w:val="clear" w:color="auto" w:fill="auto"/>
            <w:tcMar>
              <w:top w:w="0" w:type="dxa"/>
              <w:left w:w="108" w:type="dxa"/>
              <w:bottom w:w="0" w:type="dxa"/>
              <w:right w:w="108" w:type="dxa"/>
            </w:tcMar>
          </w:tcPr>
          <w:p w:rsidR="0048332A" w:rsidRDefault="008337A7">
            <w:pPr>
              <w:pStyle w:val="TAH"/>
              <w:jc w:val="both"/>
              <w:rPr>
                <w:rFonts w:ascii="Times New Roman" w:hAnsi="Times New Roman"/>
                <w:sz w:val="20"/>
              </w:rPr>
            </w:pPr>
            <w:r>
              <w:rPr>
                <w:rFonts w:ascii="Times New Roman" w:hAnsi="Times New Roman"/>
                <w:sz w:val="20"/>
              </w:rPr>
              <w:t>Set 1 FR1</w:t>
            </w:r>
          </w:p>
        </w:tc>
        <w:tc>
          <w:tcPr>
            <w:tcW w:w="1260" w:type="dxa"/>
            <w:shd w:val="clear" w:color="auto" w:fill="auto"/>
            <w:tcMar>
              <w:top w:w="0" w:type="dxa"/>
              <w:left w:w="108" w:type="dxa"/>
              <w:bottom w:w="0" w:type="dxa"/>
              <w:right w:w="108" w:type="dxa"/>
            </w:tcMar>
          </w:tcPr>
          <w:p w:rsidR="0048332A" w:rsidRDefault="008337A7">
            <w:pPr>
              <w:pStyle w:val="TAH"/>
              <w:jc w:val="both"/>
              <w:rPr>
                <w:rFonts w:ascii="Times New Roman" w:hAnsi="Times New Roman"/>
                <w:sz w:val="20"/>
              </w:rPr>
            </w:pPr>
            <w:r>
              <w:rPr>
                <w:rFonts w:ascii="Times New Roman" w:hAnsi="Times New Roman"/>
                <w:sz w:val="20"/>
              </w:rPr>
              <w:t>Set 2 FR1</w:t>
            </w:r>
          </w:p>
        </w:tc>
        <w:tc>
          <w:tcPr>
            <w:tcW w:w="1402" w:type="dxa"/>
            <w:shd w:val="clear" w:color="auto" w:fill="auto"/>
            <w:tcMar>
              <w:top w:w="0" w:type="dxa"/>
              <w:left w:w="108" w:type="dxa"/>
              <w:bottom w:w="0" w:type="dxa"/>
              <w:right w:w="108" w:type="dxa"/>
            </w:tcMar>
          </w:tcPr>
          <w:p w:rsidR="0048332A" w:rsidRDefault="008337A7">
            <w:pPr>
              <w:pStyle w:val="TAH"/>
              <w:jc w:val="both"/>
              <w:rPr>
                <w:rFonts w:ascii="Times New Roman" w:hAnsi="Times New Roman"/>
                <w:sz w:val="20"/>
              </w:rPr>
            </w:pPr>
            <w:r>
              <w:rPr>
                <w:rFonts w:ascii="Times New Roman" w:hAnsi="Times New Roman"/>
                <w:sz w:val="20"/>
              </w:rPr>
              <w:t>Set 3 FR2</w:t>
            </w:r>
          </w:p>
        </w:tc>
        <w:tc>
          <w:tcPr>
            <w:tcW w:w="1491" w:type="dxa"/>
            <w:shd w:val="clear" w:color="auto" w:fill="auto"/>
            <w:tcMar>
              <w:top w:w="0" w:type="dxa"/>
              <w:left w:w="108" w:type="dxa"/>
              <w:bottom w:w="0" w:type="dxa"/>
              <w:right w:w="108" w:type="dxa"/>
            </w:tcMar>
          </w:tcPr>
          <w:p w:rsidR="0048332A" w:rsidRDefault="008337A7">
            <w:pPr>
              <w:pStyle w:val="TAH"/>
              <w:jc w:val="both"/>
              <w:rPr>
                <w:rFonts w:ascii="Times New Roman" w:hAnsi="Times New Roman"/>
                <w:sz w:val="20"/>
              </w:rPr>
            </w:pPr>
            <w:r>
              <w:rPr>
                <w:rFonts w:ascii="Times New Roman" w:hAnsi="Times New Roman"/>
                <w:sz w:val="20"/>
              </w:rPr>
              <w:t>Set 4 FR3</w:t>
            </w: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Duplex</w:t>
            </w:r>
          </w:p>
        </w:tc>
        <w:tc>
          <w:tcPr>
            <w:tcW w:w="144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TDD</w:t>
            </w:r>
          </w:p>
        </w:tc>
        <w:tc>
          <w:tcPr>
            <w:tcW w:w="126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FDD</w:t>
            </w:r>
          </w:p>
        </w:tc>
        <w:tc>
          <w:tcPr>
            <w:tcW w:w="1402"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TDD</w:t>
            </w:r>
          </w:p>
        </w:tc>
        <w:tc>
          <w:tcPr>
            <w:tcW w:w="1491"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TDD</w:t>
            </w: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System BW</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SCS</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Number of TRP</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Total number of DL TX RUs</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trike/>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Total DL power level</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r w:rsidR="0048332A">
        <w:trPr>
          <w:jc w:val="center"/>
        </w:trPr>
        <w:tc>
          <w:tcPr>
            <w:tcW w:w="2600" w:type="dxa"/>
            <w:shd w:val="clear" w:color="auto" w:fill="auto"/>
            <w:tcMar>
              <w:top w:w="0" w:type="dxa"/>
              <w:left w:w="108" w:type="dxa"/>
              <w:bottom w:w="0" w:type="dxa"/>
              <w:right w:w="108" w:type="dxa"/>
            </w:tcMar>
          </w:tcPr>
          <w:p w:rsidR="0048332A" w:rsidRDefault="008337A7">
            <w:pPr>
              <w:pStyle w:val="TAL"/>
              <w:jc w:val="both"/>
              <w:rPr>
                <w:rFonts w:ascii="Times New Roman" w:hAnsi="Times New Roman"/>
                <w:sz w:val="20"/>
              </w:rPr>
            </w:pPr>
            <w:r>
              <w:rPr>
                <w:rFonts w:ascii="Times New Roman" w:hAnsi="Times New Roman"/>
                <w:sz w:val="20"/>
              </w:rPr>
              <w:t>Total number of UL Rx RUs</w:t>
            </w:r>
          </w:p>
        </w:tc>
        <w:tc>
          <w:tcPr>
            <w:tcW w:w="144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260"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02"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c>
          <w:tcPr>
            <w:tcW w:w="1491" w:type="dxa"/>
            <w:shd w:val="clear" w:color="auto" w:fill="auto"/>
            <w:tcMar>
              <w:top w:w="0" w:type="dxa"/>
              <w:left w:w="108" w:type="dxa"/>
              <w:bottom w:w="0" w:type="dxa"/>
              <w:right w:w="108" w:type="dxa"/>
            </w:tcMar>
          </w:tcPr>
          <w:p w:rsidR="0048332A" w:rsidRDefault="0048332A">
            <w:pPr>
              <w:pStyle w:val="TAL"/>
              <w:jc w:val="both"/>
              <w:rPr>
                <w:rFonts w:ascii="Times New Roman" w:hAnsi="Times New Roman"/>
                <w:sz w:val="20"/>
              </w:rPr>
            </w:pPr>
          </w:p>
        </w:tc>
      </w:tr>
    </w:tbl>
    <w:p w:rsidR="0048332A" w:rsidRDefault="008337A7">
      <w:pPr>
        <w:spacing w:before="120" w:after="120"/>
        <w:rPr>
          <w:sz w:val="20"/>
          <w:szCs w:val="20"/>
        </w:rPr>
      </w:pPr>
      <w:r>
        <w:rPr>
          <w:rFonts w:eastAsiaTheme="minorEastAsia"/>
          <w:b/>
          <w:bCs/>
          <w:i/>
          <w:iCs/>
          <w:kern w:val="2"/>
          <w:sz w:val="20"/>
          <w:szCs w:val="20"/>
          <w:lang w:val="en-GB" w:eastAsia="en-US"/>
        </w:rPr>
        <w:t>Proposal</w:t>
      </w:r>
      <w:r>
        <w:rPr>
          <w:rFonts w:eastAsiaTheme="minorEastAsia" w:hint="eastAsia"/>
          <w:b/>
          <w:bCs/>
          <w:i/>
          <w:iCs/>
          <w:kern w:val="2"/>
          <w:sz w:val="20"/>
          <w:szCs w:val="20"/>
          <w:lang w:val="en-GB" w:eastAsia="en-US"/>
        </w:rPr>
        <w:t xml:space="preserve"> </w:t>
      </w:r>
      <w:r>
        <w:rPr>
          <w:rFonts w:eastAsiaTheme="minorEastAsia"/>
          <w:b/>
          <w:bCs/>
          <w:i/>
          <w:iCs/>
          <w:kern w:val="2"/>
          <w:sz w:val="20"/>
          <w:szCs w:val="20"/>
          <w:lang w:val="en-GB" w:eastAsia="en-US"/>
        </w:rPr>
        <w:t>3-1-3:</w:t>
      </w:r>
      <w:bookmarkStart w:id="3" w:name="_Toc5267"/>
      <w:r>
        <w:rPr>
          <w:sz w:val="20"/>
          <w:szCs w:val="20"/>
        </w:rPr>
        <w:t xml:space="preserve"> </w:t>
      </w:r>
      <w:r>
        <w:rPr>
          <w:i/>
          <w:sz w:val="20"/>
          <w:szCs w:val="20"/>
        </w:rPr>
        <w:t>Table 3-1-1 can be used as a starting point for reference configuration for BS power consumption model.</w:t>
      </w:r>
      <w:bookmarkEnd w:id="3"/>
    </w:p>
    <w:p w:rsidR="0048332A" w:rsidRDefault="008337A7">
      <w:pPr>
        <w:numPr>
          <w:ilvl w:val="0"/>
          <w:numId w:val="12"/>
        </w:numPr>
        <w:spacing w:beforeLines="50" w:before="120" w:afterLines="50" w:after="120" w:line="259" w:lineRule="auto"/>
        <w:jc w:val="both"/>
        <w:rPr>
          <w:b/>
          <w:bCs/>
          <w:sz w:val="20"/>
          <w:szCs w:val="20"/>
        </w:rPr>
      </w:pPr>
      <w:r>
        <w:rPr>
          <w:rFonts w:hint="eastAsia"/>
          <w:b/>
          <w:bCs/>
          <w:sz w:val="20"/>
          <w:szCs w:val="20"/>
        </w:rPr>
        <w:t>Power states</w:t>
      </w:r>
    </w:p>
    <w:p w:rsidR="0048332A" w:rsidRDefault="008337A7">
      <w:pPr>
        <w:spacing w:beforeLines="50" w:before="120" w:afterLines="50" w:after="120"/>
        <w:jc w:val="both"/>
        <w:rPr>
          <w:sz w:val="20"/>
          <w:szCs w:val="20"/>
        </w:rPr>
      </w:pPr>
      <w:r>
        <w:rPr>
          <w:rFonts w:hint="eastAsia"/>
          <w:sz w:val="20"/>
          <w:szCs w:val="20"/>
        </w:rPr>
        <w:t xml:space="preserve">For power states, Table 3-1-2 extracted from </w:t>
      </w:r>
      <w:r>
        <w:rPr>
          <w:sz w:val="20"/>
          <w:szCs w:val="20"/>
        </w:rPr>
        <w:fldChar w:fldCharType="begin"/>
      </w:r>
      <w:r>
        <w:rPr>
          <w:sz w:val="20"/>
          <w:szCs w:val="20"/>
        </w:rPr>
        <w:instrText xml:space="preserve"> REF _Ref205924678 \n \h </w:instrText>
      </w:r>
      <w:r>
        <w:rPr>
          <w:sz w:val="20"/>
          <w:szCs w:val="20"/>
        </w:rPr>
      </w:r>
      <w:r>
        <w:rPr>
          <w:sz w:val="20"/>
          <w:szCs w:val="20"/>
        </w:rPr>
        <w:fldChar w:fldCharType="separate"/>
      </w:r>
      <w:r w:rsidR="00FD4494">
        <w:rPr>
          <w:sz w:val="20"/>
          <w:szCs w:val="20"/>
        </w:rPr>
        <w:t>[9]</w:t>
      </w:r>
      <w:r>
        <w:rPr>
          <w:sz w:val="20"/>
          <w:szCs w:val="20"/>
        </w:rPr>
        <w:fldChar w:fldCharType="end"/>
      </w:r>
      <w:r>
        <w:rPr>
          <w:rFonts w:hint="eastAsia"/>
          <w:sz w:val="20"/>
          <w:szCs w:val="20"/>
        </w:rPr>
        <w:t xml:space="preserve"> can be reused for 6G network power consumption model. The value for each power state relative to each set of reference configuration can be further discussed. The values of the additional transition energy E and total transition time T should also be set in accordance with the characteristics of the 6G system. For example, the transition time </w:t>
      </w:r>
      <w:proofErr w:type="gramStart"/>
      <w:r>
        <w:rPr>
          <w:rFonts w:hint="eastAsia"/>
          <w:sz w:val="20"/>
          <w:szCs w:val="20"/>
        </w:rPr>
        <w:t>of  light</w:t>
      </w:r>
      <w:proofErr w:type="gramEnd"/>
      <w:r>
        <w:rPr>
          <w:rFonts w:hint="eastAsia"/>
          <w:sz w:val="20"/>
          <w:szCs w:val="20"/>
        </w:rPr>
        <w:t xml:space="preserve"> and deep sleep state of BS Cat 2 is 640ms and 10s respectively. Considering the 6G BS implementation will be more energy efficiency, the transition time can be reduced. Similarly, the power value of each state can be also further discussed for 6GR.</w:t>
      </w:r>
    </w:p>
    <w:p w:rsidR="0048332A" w:rsidRDefault="0048332A">
      <w:pPr>
        <w:spacing w:before="120" w:after="120"/>
      </w:pPr>
    </w:p>
    <w:p w:rsidR="0048332A" w:rsidRDefault="008337A7">
      <w:pPr>
        <w:pStyle w:val="TH"/>
        <w:spacing w:before="120" w:after="120"/>
        <w:rPr>
          <w:rFonts w:ascii="Times New Roman" w:hAnsi="Times New Roman"/>
        </w:rPr>
      </w:pPr>
      <w:r>
        <w:rPr>
          <w:rFonts w:ascii="Times New Roman" w:hAnsi="Times New Roman"/>
        </w:rPr>
        <w:t xml:space="preserve">Table 3-1-2 </w:t>
      </w:r>
      <w:r>
        <w:rPr>
          <w:rFonts w:ascii="Times New Roman" w:hAnsi="Times New Roman"/>
          <w:b w:val="0"/>
        </w:rPr>
        <w:t>Power states of BS power consumption model</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4992"/>
        <w:gridCol w:w="992"/>
        <w:gridCol w:w="1134"/>
        <w:gridCol w:w="1134"/>
      </w:tblGrid>
      <w:tr w:rsidR="0048332A">
        <w:tc>
          <w:tcPr>
            <w:tcW w:w="1382" w:type="dxa"/>
            <w:vAlign w:val="center"/>
          </w:tcPr>
          <w:p w:rsidR="0048332A" w:rsidRDefault="008337A7">
            <w:pPr>
              <w:pStyle w:val="TAH"/>
              <w:snapToGrid w:val="0"/>
              <w:rPr>
                <w:rFonts w:ascii="Times New Roman" w:hAnsi="Times New Roman"/>
                <w:sz w:val="20"/>
              </w:rPr>
            </w:pPr>
            <w:r>
              <w:rPr>
                <w:rFonts w:ascii="Times New Roman" w:hAnsi="Times New Roman"/>
                <w:sz w:val="20"/>
              </w:rPr>
              <w:t>Power state</w:t>
            </w:r>
          </w:p>
        </w:tc>
        <w:tc>
          <w:tcPr>
            <w:tcW w:w="4992" w:type="dxa"/>
            <w:vAlign w:val="center"/>
          </w:tcPr>
          <w:p w:rsidR="0048332A" w:rsidRDefault="008337A7">
            <w:pPr>
              <w:pStyle w:val="TAH"/>
              <w:snapToGrid w:val="0"/>
              <w:rPr>
                <w:rFonts w:ascii="Times New Roman" w:hAnsi="Times New Roman"/>
                <w:sz w:val="20"/>
              </w:rPr>
            </w:pPr>
            <w:r>
              <w:rPr>
                <w:rFonts w:ascii="Times New Roman" w:hAnsi="Times New Roman"/>
                <w:sz w:val="20"/>
              </w:rPr>
              <w:t>Characteristic</w:t>
            </w:r>
          </w:p>
        </w:tc>
        <w:tc>
          <w:tcPr>
            <w:tcW w:w="992" w:type="dxa"/>
            <w:vAlign w:val="center"/>
          </w:tcPr>
          <w:p w:rsidR="0048332A" w:rsidRDefault="008337A7">
            <w:pPr>
              <w:pStyle w:val="TAH"/>
              <w:snapToGrid w:val="0"/>
              <w:rPr>
                <w:rFonts w:ascii="Times New Roman" w:hAnsi="Times New Roman"/>
                <w:sz w:val="20"/>
              </w:rPr>
            </w:pPr>
            <w:r>
              <w:rPr>
                <w:rFonts w:ascii="Times New Roman" w:hAnsi="Times New Roman"/>
                <w:sz w:val="20"/>
              </w:rPr>
              <w:t xml:space="preserve">Relative Power </w:t>
            </w:r>
            <w:r>
              <w:rPr>
                <w:rFonts w:ascii="Times New Roman" w:hAnsi="Times New Roman"/>
                <w:i/>
                <w:sz w:val="20"/>
              </w:rPr>
              <w:t>P</w:t>
            </w:r>
          </w:p>
        </w:tc>
        <w:tc>
          <w:tcPr>
            <w:tcW w:w="1134" w:type="dxa"/>
            <w:vAlign w:val="center"/>
          </w:tcPr>
          <w:p w:rsidR="0048332A" w:rsidRDefault="008337A7">
            <w:pPr>
              <w:pStyle w:val="TAH"/>
              <w:snapToGrid w:val="0"/>
              <w:rPr>
                <w:rFonts w:ascii="Times New Roman" w:hAnsi="Times New Roman"/>
                <w:sz w:val="20"/>
              </w:rPr>
            </w:pPr>
            <w:r>
              <w:rPr>
                <w:rFonts w:ascii="Times New Roman" w:hAnsi="Times New Roman"/>
                <w:sz w:val="20"/>
              </w:rPr>
              <w:t>Additional transition energy</w:t>
            </w:r>
            <w:r>
              <w:rPr>
                <w:rFonts w:ascii="Times New Roman" w:hAnsi="Times New Roman"/>
                <w:sz w:val="20"/>
                <w:vertAlign w:val="superscript"/>
              </w:rPr>
              <w:t xml:space="preserve"> </w:t>
            </w:r>
            <w:r>
              <w:rPr>
                <w:rFonts w:ascii="Times New Roman" w:hAnsi="Times New Roman"/>
                <w:i/>
                <w:sz w:val="20"/>
              </w:rPr>
              <w:t>E</w:t>
            </w:r>
          </w:p>
        </w:tc>
        <w:tc>
          <w:tcPr>
            <w:tcW w:w="1134" w:type="dxa"/>
            <w:vAlign w:val="center"/>
          </w:tcPr>
          <w:p w:rsidR="0048332A" w:rsidRDefault="008337A7">
            <w:pPr>
              <w:pStyle w:val="TAH"/>
              <w:snapToGrid w:val="0"/>
              <w:rPr>
                <w:rFonts w:ascii="Times New Roman" w:hAnsi="Times New Roman"/>
                <w:sz w:val="20"/>
              </w:rPr>
            </w:pPr>
            <w:r>
              <w:rPr>
                <w:rFonts w:ascii="Times New Roman" w:hAnsi="Times New Roman"/>
                <w:sz w:val="20"/>
              </w:rPr>
              <w:t>Total transition time</w:t>
            </w:r>
            <w:r>
              <w:rPr>
                <w:rFonts w:ascii="Times New Roman" w:hAnsi="Times New Roman"/>
                <w:i/>
                <w:sz w:val="20"/>
              </w:rPr>
              <w:t xml:space="preserve"> T</w:t>
            </w:r>
          </w:p>
        </w:tc>
      </w:tr>
      <w:tr w:rsidR="0048332A">
        <w:tc>
          <w:tcPr>
            <w:tcW w:w="1382" w:type="dxa"/>
            <w:vAlign w:val="center"/>
          </w:tcPr>
          <w:p w:rsidR="0048332A" w:rsidRDefault="008337A7">
            <w:pPr>
              <w:pStyle w:val="TAC"/>
              <w:snapToGrid w:val="0"/>
              <w:rPr>
                <w:rFonts w:ascii="Times New Roman" w:hAnsi="Times New Roman"/>
                <w:sz w:val="20"/>
              </w:rPr>
            </w:pPr>
            <w:r>
              <w:rPr>
                <w:rFonts w:ascii="Times New Roman" w:hAnsi="Times New Roman"/>
                <w:sz w:val="20"/>
              </w:rPr>
              <w:t>Deep sleep</w:t>
            </w:r>
          </w:p>
        </w:tc>
        <w:tc>
          <w:tcPr>
            <w:tcW w:w="4992" w:type="dxa"/>
          </w:tcPr>
          <w:p w:rsidR="0048332A" w:rsidRDefault="008337A7">
            <w:pPr>
              <w:pStyle w:val="TAL"/>
              <w:snapToGrid w:val="0"/>
              <w:rPr>
                <w:rFonts w:ascii="Times New Roman" w:hAnsi="Times New Roman"/>
                <w:sz w:val="20"/>
              </w:rPr>
            </w:pPr>
            <w:r>
              <w:rPr>
                <w:rFonts w:ascii="Times New Roman" w:hAnsi="Times New Roman"/>
                <w:sz w:val="20"/>
              </w:rPr>
              <w:t xml:space="preserve">There is neither DL transmission nor UL reception. </w:t>
            </w:r>
          </w:p>
          <w:p w:rsidR="0048332A" w:rsidRDefault="008337A7">
            <w:pPr>
              <w:pStyle w:val="TAL"/>
              <w:snapToGrid w:val="0"/>
              <w:rPr>
                <w:rFonts w:ascii="Times New Roman" w:hAnsi="Times New Roman"/>
                <w:sz w:val="20"/>
              </w:rPr>
            </w:pPr>
            <w:r>
              <w:rPr>
                <w:rFonts w:ascii="Times New Roman" w:hAnsi="Times New Roman"/>
                <w:sz w:val="20"/>
              </w:rPr>
              <w:t xml:space="preserve">Time interval for the sleep should be larger than the total transition time entering and leaving this state. </w:t>
            </w:r>
          </w:p>
        </w:tc>
        <w:tc>
          <w:tcPr>
            <w:tcW w:w="992" w:type="dxa"/>
            <w:vAlign w:val="center"/>
          </w:tcPr>
          <w:p w:rsidR="0048332A" w:rsidRDefault="008337A7">
            <w:pPr>
              <w:pStyle w:val="TAC"/>
              <w:snapToGrid w:val="0"/>
              <w:rPr>
                <w:rFonts w:ascii="Times New Roman" w:hAnsi="Times New Roman"/>
                <w:sz w:val="20"/>
              </w:rPr>
            </w:pPr>
            <w:r>
              <w:rPr>
                <w:rFonts w:ascii="Times New Roman" w:hAnsi="Times New Roman"/>
                <w:sz w:val="20"/>
              </w:rPr>
              <w:t>P1</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E1</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T1</w:t>
            </w:r>
          </w:p>
        </w:tc>
      </w:tr>
      <w:tr w:rsidR="0048332A">
        <w:tc>
          <w:tcPr>
            <w:tcW w:w="1382" w:type="dxa"/>
            <w:vAlign w:val="center"/>
          </w:tcPr>
          <w:p w:rsidR="0048332A" w:rsidRDefault="008337A7">
            <w:pPr>
              <w:pStyle w:val="TAC"/>
              <w:snapToGrid w:val="0"/>
              <w:rPr>
                <w:rFonts w:ascii="Times New Roman" w:hAnsi="Times New Roman"/>
                <w:sz w:val="20"/>
              </w:rPr>
            </w:pPr>
            <w:r>
              <w:rPr>
                <w:rFonts w:ascii="Times New Roman" w:hAnsi="Times New Roman"/>
                <w:sz w:val="20"/>
              </w:rPr>
              <w:t>Light sleep</w:t>
            </w:r>
          </w:p>
        </w:tc>
        <w:tc>
          <w:tcPr>
            <w:tcW w:w="4992" w:type="dxa"/>
          </w:tcPr>
          <w:p w:rsidR="0048332A" w:rsidRDefault="008337A7">
            <w:pPr>
              <w:pStyle w:val="TAL"/>
              <w:snapToGrid w:val="0"/>
              <w:rPr>
                <w:rFonts w:ascii="Times New Roman" w:hAnsi="Times New Roman"/>
                <w:sz w:val="20"/>
              </w:rPr>
            </w:pPr>
            <w:r>
              <w:rPr>
                <w:rFonts w:ascii="Times New Roman" w:hAnsi="Times New Roman"/>
                <w:sz w:val="20"/>
              </w:rPr>
              <w:t xml:space="preserve">There is neither DL transmission nor UL reception. </w:t>
            </w:r>
          </w:p>
          <w:p w:rsidR="0048332A" w:rsidRDefault="008337A7">
            <w:pPr>
              <w:pStyle w:val="TAL"/>
              <w:snapToGrid w:val="0"/>
              <w:rPr>
                <w:rFonts w:ascii="Times New Roman" w:hAnsi="Times New Roman"/>
                <w:sz w:val="20"/>
              </w:rPr>
            </w:pPr>
            <w:r>
              <w:rPr>
                <w:rFonts w:ascii="Times New Roman" w:hAnsi="Times New Roman"/>
                <w:sz w:val="20"/>
              </w:rPr>
              <w:t>Time interval for the sleep should be larger than the total transition time entering and leaving this state.</w:t>
            </w:r>
          </w:p>
        </w:tc>
        <w:tc>
          <w:tcPr>
            <w:tcW w:w="992" w:type="dxa"/>
            <w:vAlign w:val="center"/>
          </w:tcPr>
          <w:p w:rsidR="0048332A" w:rsidRDefault="008337A7">
            <w:pPr>
              <w:pStyle w:val="TAC"/>
              <w:snapToGrid w:val="0"/>
              <w:rPr>
                <w:rFonts w:ascii="Times New Roman" w:hAnsi="Times New Roman"/>
                <w:sz w:val="20"/>
              </w:rPr>
            </w:pPr>
            <w:r>
              <w:rPr>
                <w:rFonts w:ascii="Times New Roman" w:hAnsi="Times New Roman"/>
                <w:sz w:val="20"/>
              </w:rPr>
              <w:t>P2</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E2</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T2</w:t>
            </w:r>
          </w:p>
        </w:tc>
      </w:tr>
      <w:tr w:rsidR="0048332A">
        <w:tc>
          <w:tcPr>
            <w:tcW w:w="1382" w:type="dxa"/>
            <w:vAlign w:val="center"/>
          </w:tcPr>
          <w:p w:rsidR="0048332A" w:rsidRDefault="008337A7">
            <w:pPr>
              <w:pStyle w:val="TAC"/>
              <w:snapToGrid w:val="0"/>
              <w:rPr>
                <w:rFonts w:ascii="Times New Roman" w:hAnsi="Times New Roman"/>
                <w:sz w:val="20"/>
              </w:rPr>
            </w:pPr>
            <w:r>
              <w:rPr>
                <w:rFonts w:ascii="Times New Roman" w:hAnsi="Times New Roman"/>
                <w:sz w:val="20"/>
              </w:rPr>
              <w:t>Micro sleep</w:t>
            </w:r>
          </w:p>
        </w:tc>
        <w:tc>
          <w:tcPr>
            <w:tcW w:w="4992" w:type="dxa"/>
          </w:tcPr>
          <w:p w:rsidR="0048332A" w:rsidRDefault="008337A7">
            <w:pPr>
              <w:pStyle w:val="TAL"/>
              <w:snapToGrid w:val="0"/>
              <w:rPr>
                <w:rFonts w:ascii="Times New Roman" w:hAnsi="Times New Roman"/>
                <w:sz w:val="20"/>
              </w:rPr>
            </w:pPr>
            <w:r>
              <w:rPr>
                <w:rFonts w:ascii="Times New Roman" w:hAnsi="Times New Roman"/>
                <w:sz w:val="20"/>
              </w:rPr>
              <w:t>There is neither DL transmission nor UL reception.</w:t>
            </w:r>
          </w:p>
          <w:p w:rsidR="0048332A" w:rsidRDefault="008337A7">
            <w:pPr>
              <w:pStyle w:val="TAL"/>
              <w:snapToGrid w:val="0"/>
              <w:rPr>
                <w:rFonts w:ascii="Times New Roman" w:hAnsi="Times New Roman"/>
                <w:sz w:val="20"/>
              </w:rPr>
            </w:pPr>
            <w:r>
              <w:rPr>
                <w:rFonts w:ascii="Times New Roman" w:hAnsi="Times New Roman"/>
                <w:sz w:val="20"/>
              </w:rPr>
              <w:t>Immediate transition is assumed for network energy saving study purpose from or to a non-sleep state.</w:t>
            </w:r>
          </w:p>
        </w:tc>
        <w:tc>
          <w:tcPr>
            <w:tcW w:w="992" w:type="dxa"/>
            <w:vAlign w:val="center"/>
          </w:tcPr>
          <w:p w:rsidR="0048332A" w:rsidRDefault="008337A7">
            <w:pPr>
              <w:pStyle w:val="TAC"/>
              <w:snapToGrid w:val="0"/>
              <w:rPr>
                <w:rFonts w:ascii="Times New Roman" w:hAnsi="Times New Roman"/>
                <w:sz w:val="20"/>
              </w:rPr>
            </w:pPr>
            <w:r>
              <w:rPr>
                <w:rFonts w:ascii="Times New Roman" w:hAnsi="Times New Roman"/>
                <w:sz w:val="20"/>
              </w:rPr>
              <w:t>P3</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0</w:t>
            </w:r>
          </w:p>
        </w:tc>
        <w:tc>
          <w:tcPr>
            <w:tcW w:w="1134" w:type="dxa"/>
            <w:vAlign w:val="center"/>
          </w:tcPr>
          <w:p w:rsidR="0048332A" w:rsidRDefault="008337A7">
            <w:pPr>
              <w:pStyle w:val="TAC"/>
              <w:snapToGrid w:val="0"/>
              <w:rPr>
                <w:rFonts w:ascii="Times New Roman" w:hAnsi="Times New Roman"/>
                <w:sz w:val="20"/>
              </w:rPr>
            </w:pPr>
            <w:r>
              <w:rPr>
                <w:rFonts w:ascii="Times New Roman" w:hAnsi="Times New Roman"/>
                <w:sz w:val="20"/>
              </w:rPr>
              <w:t>0</w:t>
            </w:r>
          </w:p>
        </w:tc>
      </w:tr>
      <w:tr w:rsidR="0048332A">
        <w:tc>
          <w:tcPr>
            <w:tcW w:w="1382" w:type="dxa"/>
            <w:vAlign w:val="center"/>
          </w:tcPr>
          <w:p w:rsidR="0048332A" w:rsidRDefault="008337A7">
            <w:pPr>
              <w:pStyle w:val="TAC"/>
              <w:snapToGrid w:val="0"/>
              <w:rPr>
                <w:rFonts w:ascii="Times New Roman" w:hAnsi="Times New Roman"/>
                <w:sz w:val="20"/>
              </w:rPr>
            </w:pPr>
            <w:r>
              <w:rPr>
                <w:rFonts w:ascii="Times New Roman" w:hAnsi="Times New Roman"/>
                <w:sz w:val="20"/>
              </w:rPr>
              <w:t>Active DL</w:t>
            </w:r>
          </w:p>
        </w:tc>
        <w:tc>
          <w:tcPr>
            <w:tcW w:w="4992" w:type="dxa"/>
          </w:tcPr>
          <w:p w:rsidR="0048332A" w:rsidRDefault="008337A7">
            <w:pPr>
              <w:pStyle w:val="TAL"/>
              <w:snapToGrid w:val="0"/>
              <w:rPr>
                <w:rFonts w:ascii="Times New Roman" w:hAnsi="Times New Roman"/>
                <w:sz w:val="20"/>
              </w:rPr>
            </w:pPr>
            <w:r>
              <w:rPr>
                <w:rFonts w:ascii="Times New Roman" w:hAnsi="Times New Roman"/>
                <w:sz w:val="20"/>
              </w:rPr>
              <w:t>There is only DL transmission.</w:t>
            </w:r>
          </w:p>
        </w:tc>
        <w:tc>
          <w:tcPr>
            <w:tcW w:w="992" w:type="dxa"/>
            <w:vAlign w:val="center"/>
          </w:tcPr>
          <w:p w:rsidR="0048332A" w:rsidRDefault="008337A7">
            <w:pPr>
              <w:pStyle w:val="TAC"/>
              <w:snapToGrid w:val="0"/>
              <w:rPr>
                <w:rFonts w:ascii="Times New Roman" w:hAnsi="Times New Roman"/>
                <w:sz w:val="20"/>
              </w:rPr>
            </w:pPr>
            <w:r>
              <w:rPr>
                <w:rFonts w:ascii="Times New Roman" w:hAnsi="Times New Roman"/>
                <w:sz w:val="20"/>
              </w:rPr>
              <w:t>P4</w:t>
            </w:r>
          </w:p>
        </w:tc>
        <w:tc>
          <w:tcPr>
            <w:tcW w:w="2268" w:type="dxa"/>
            <w:gridSpan w:val="2"/>
            <w:vMerge w:val="restart"/>
            <w:vAlign w:val="center"/>
          </w:tcPr>
          <w:p w:rsidR="0048332A" w:rsidRDefault="008337A7">
            <w:pPr>
              <w:pStyle w:val="TAC"/>
              <w:snapToGrid w:val="0"/>
              <w:rPr>
                <w:rFonts w:ascii="Times New Roman" w:hAnsi="Times New Roman"/>
                <w:sz w:val="20"/>
              </w:rPr>
            </w:pPr>
            <w:r>
              <w:rPr>
                <w:rFonts w:ascii="Times New Roman" w:hAnsi="Times New Roman"/>
                <w:sz w:val="20"/>
              </w:rPr>
              <w:t>N.A.</w:t>
            </w:r>
          </w:p>
        </w:tc>
      </w:tr>
      <w:tr w:rsidR="0048332A">
        <w:tc>
          <w:tcPr>
            <w:tcW w:w="1382" w:type="dxa"/>
            <w:vAlign w:val="center"/>
          </w:tcPr>
          <w:p w:rsidR="0048332A" w:rsidRDefault="008337A7">
            <w:pPr>
              <w:pStyle w:val="TAC"/>
              <w:snapToGrid w:val="0"/>
              <w:rPr>
                <w:rFonts w:ascii="Times New Roman" w:hAnsi="Times New Roman"/>
                <w:sz w:val="20"/>
              </w:rPr>
            </w:pPr>
            <w:r>
              <w:rPr>
                <w:rFonts w:ascii="Times New Roman" w:hAnsi="Times New Roman"/>
                <w:sz w:val="20"/>
              </w:rPr>
              <w:t>Active UL</w:t>
            </w:r>
          </w:p>
        </w:tc>
        <w:tc>
          <w:tcPr>
            <w:tcW w:w="4992" w:type="dxa"/>
          </w:tcPr>
          <w:p w:rsidR="0048332A" w:rsidRDefault="008337A7">
            <w:pPr>
              <w:pStyle w:val="TAL"/>
              <w:snapToGrid w:val="0"/>
              <w:rPr>
                <w:rFonts w:ascii="Times New Roman" w:hAnsi="Times New Roman"/>
                <w:sz w:val="20"/>
              </w:rPr>
            </w:pPr>
            <w:r>
              <w:rPr>
                <w:rFonts w:ascii="Times New Roman" w:hAnsi="Times New Roman"/>
                <w:sz w:val="20"/>
              </w:rPr>
              <w:t>There is only UL reception.</w:t>
            </w:r>
          </w:p>
        </w:tc>
        <w:tc>
          <w:tcPr>
            <w:tcW w:w="992" w:type="dxa"/>
            <w:vAlign w:val="center"/>
          </w:tcPr>
          <w:p w:rsidR="0048332A" w:rsidRDefault="008337A7">
            <w:pPr>
              <w:snapToGrid w:val="0"/>
              <w:jc w:val="center"/>
              <w:rPr>
                <w:sz w:val="20"/>
                <w:szCs w:val="20"/>
              </w:rPr>
            </w:pPr>
            <w:r>
              <w:rPr>
                <w:sz w:val="20"/>
                <w:szCs w:val="20"/>
              </w:rPr>
              <w:t>P5</w:t>
            </w:r>
          </w:p>
        </w:tc>
        <w:tc>
          <w:tcPr>
            <w:tcW w:w="2268" w:type="dxa"/>
            <w:gridSpan w:val="2"/>
            <w:vMerge/>
          </w:tcPr>
          <w:p w:rsidR="0048332A" w:rsidRDefault="0048332A">
            <w:pPr>
              <w:snapToGrid w:val="0"/>
              <w:rPr>
                <w:sz w:val="20"/>
                <w:szCs w:val="20"/>
              </w:rPr>
            </w:pPr>
          </w:p>
        </w:tc>
      </w:tr>
    </w:tbl>
    <w:p w:rsidR="0048332A" w:rsidRDefault="008337A7">
      <w:pPr>
        <w:numPr>
          <w:ilvl w:val="255"/>
          <w:numId w:val="0"/>
        </w:numPr>
        <w:spacing w:before="120" w:after="120"/>
      </w:pPr>
      <w:r>
        <w:rPr>
          <w:rFonts w:eastAsiaTheme="minorEastAsia"/>
          <w:b/>
          <w:bCs/>
          <w:i/>
          <w:iCs/>
          <w:kern w:val="2"/>
          <w:sz w:val="20"/>
          <w:szCs w:val="20"/>
          <w:lang w:val="en-GB" w:eastAsia="en-US"/>
        </w:rPr>
        <w:t>Proposal</w:t>
      </w:r>
      <w:r>
        <w:rPr>
          <w:rFonts w:eastAsiaTheme="minorEastAsia" w:hint="eastAsia"/>
          <w:b/>
          <w:bCs/>
          <w:i/>
          <w:iCs/>
          <w:kern w:val="2"/>
          <w:sz w:val="20"/>
          <w:szCs w:val="20"/>
          <w:lang w:val="en-GB" w:eastAsia="en-US"/>
        </w:rPr>
        <w:t xml:space="preserve"> </w:t>
      </w:r>
      <w:r>
        <w:rPr>
          <w:rFonts w:eastAsiaTheme="minorEastAsia"/>
          <w:b/>
          <w:bCs/>
          <w:i/>
          <w:iCs/>
          <w:kern w:val="2"/>
          <w:sz w:val="20"/>
          <w:szCs w:val="20"/>
          <w:lang w:val="en-GB" w:eastAsia="en-US"/>
        </w:rPr>
        <w:t xml:space="preserve">3-1-4: </w:t>
      </w:r>
      <w:r>
        <w:rPr>
          <w:i/>
          <w:sz w:val="20"/>
          <w:szCs w:val="20"/>
        </w:rPr>
        <w:t>Table 3-1-2</w:t>
      </w:r>
      <w:bookmarkStart w:id="4" w:name="_Toc26671"/>
      <w:bookmarkStart w:id="5" w:name="_Toc18527"/>
      <w:bookmarkStart w:id="6" w:name="_Toc25470"/>
      <w:bookmarkStart w:id="7" w:name="_Toc19251"/>
      <w:bookmarkStart w:id="8" w:name="_Toc1679"/>
      <w:bookmarkStart w:id="9" w:name="_Toc1656"/>
      <w:bookmarkStart w:id="10" w:name="_Toc16840"/>
      <w:r>
        <w:rPr>
          <w:rFonts w:hint="eastAsia"/>
          <w:i/>
          <w:sz w:val="20"/>
          <w:szCs w:val="20"/>
        </w:rPr>
        <w:t xml:space="preserve"> can be used for the power state definition and the power values and transition time can be further discussed for 6G network power consumption model.</w:t>
      </w:r>
      <w:bookmarkEnd w:id="4"/>
      <w:bookmarkEnd w:id="5"/>
      <w:bookmarkEnd w:id="6"/>
      <w:bookmarkEnd w:id="7"/>
      <w:bookmarkEnd w:id="8"/>
      <w:bookmarkEnd w:id="9"/>
      <w:bookmarkEnd w:id="10"/>
    </w:p>
    <w:p w:rsidR="0048332A" w:rsidRDefault="008337A7">
      <w:pPr>
        <w:numPr>
          <w:ilvl w:val="0"/>
          <w:numId w:val="12"/>
        </w:numPr>
        <w:spacing w:beforeLines="50" w:before="120" w:afterLines="50" w:after="120" w:line="259" w:lineRule="auto"/>
        <w:jc w:val="both"/>
        <w:rPr>
          <w:b/>
          <w:bCs/>
          <w:sz w:val="20"/>
          <w:szCs w:val="20"/>
        </w:rPr>
      </w:pPr>
      <w:r>
        <w:rPr>
          <w:rFonts w:hint="eastAsia"/>
          <w:b/>
          <w:bCs/>
          <w:sz w:val="20"/>
          <w:szCs w:val="20"/>
        </w:rPr>
        <w:t>Scaling factor</w:t>
      </w:r>
    </w:p>
    <w:p w:rsidR="0048332A" w:rsidRDefault="008337A7">
      <w:pPr>
        <w:autoSpaceDE w:val="0"/>
        <w:autoSpaceDN w:val="0"/>
        <w:snapToGrid w:val="0"/>
        <w:spacing w:beforeLines="50" w:before="120" w:afterLines="50" w:after="120"/>
        <w:jc w:val="both"/>
        <w:rPr>
          <w:sz w:val="20"/>
          <w:szCs w:val="20"/>
        </w:rPr>
      </w:pPr>
      <w:r>
        <w:rPr>
          <w:rFonts w:hint="eastAsia"/>
          <w:sz w:val="20"/>
          <w:szCs w:val="20"/>
        </w:rPr>
        <w:t xml:space="preserve">The power consumption value defined by the reference parameters is only applicable to the specific configuration. When the </w:t>
      </w:r>
      <w:r>
        <w:rPr>
          <w:sz w:val="20"/>
          <w:szCs w:val="20"/>
        </w:rPr>
        <w:t>BS</w:t>
      </w:r>
      <w:r>
        <w:rPr>
          <w:rFonts w:hint="eastAsia"/>
          <w:sz w:val="20"/>
          <w:szCs w:val="20"/>
        </w:rPr>
        <w:t xml:space="preserve"> configuration is changed, the power consumption of each power state should also be changed accordingly. Therefore, scaling rules when the configuration of </w:t>
      </w:r>
      <w:r>
        <w:rPr>
          <w:sz w:val="20"/>
          <w:szCs w:val="20"/>
        </w:rPr>
        <w:t>BS</w:t>
      </w:r>
      <w:r>
        <w:rPr>
          <w:rFonts w:hint="eastAsia"/>
          <w:sz w:val="20"/>
          <w:szCs w:val="20"/>
        </w:rPr>
        <w:t xml:space="preserve"> changes relative to the reference configuration should be formulated.</w:t>
      </w:r>
    </w:p>
    <w:p w:rsidR="0048332A" w:rsidRDefault="008337A7">
      <w:pPr>
        <w:autoSpaceDE w:val="0"/>
        <w:autoSpaceDN w:val="0"/>
        <w:snapToGrid w:val="0"/>
        <w:spacing w:beforeLines="50" w:before="120" w:afterLines="50" w:after="120"/>
        <w:jc w:val="both"/>
        <w:rPr>
          <w:sz w:val="20"/>
          <w:szCs w:val="20"/>
        </w:rPr>
      </w:pPr>
      <w:r>
        <w:rPr>
          <w:rFonts w:hint="eastAsia"/>
          <w:sz w:val="20"/>
          <w:szCs w:val="20"/>
        </w:rPr>
        <w:lastRenderedPageBreak/>
        <w:t xml:space="preserve">Considering that the power consumption of the sleep modes is the static power consumption, which cannot be reduced by change the configuration. So, the power value of the sleep modes cannot be scaled. </w:t>
      </w:r>
    </w:p>
    <w:p w:rsidR="0048332A" w:rsidRDefault="008337A7">
      <w:pPr>
        <w:autoSpaceDE w:val="0"/>
        <w:autoSpaceDN w:val="0"/>
        <w:snapToGrid w:val="0"/>
        <w:spacing w:beforeLines="50" w:before="120" w:afterLines="50" w:after="120"/>
        <w:jc w:val="both"/>
        <w:rPr>
          <w:sz w:val="20"/>
          <w:szCs w:val="20"/>
        </w:rPr>
      </w:pPr>
      <w:r>
        <w:rPr>
          <w:rFonts w:hint="eastAsia"/>
          <w:sz w:val="20"/>
          <w:szCs w:val="20"/>
        </w:rPr>
        <w:t>For the scaling method, all of the time domain, frequency domain, spatial domain and power domain factors should be taken into consideration. So, for the non-sleep states, the scaling can be based on one or more of the following</w:t>
      </w:r>
      <w:r>
        <w:rPr>
          <w:sz w:val="20"/>
          <w:szCs w:val="20"/>
        </w:rPr>
        <w:t>:</w:t>
      </w:r>
    </w:p>
    <w:p w:rsidR="0048332A" w:rsidRDefault="008337A7">
      <w:pPr>
        <w:pStyle w:val="B10"/>
        <w:snapToGrid w:val="0"/>
        <w:spacing w:beforeLines="50" w:before="120" w:afterLines="50" w:after="120"/>
        <w:contextualSpacing w:val="0"/>
        <w:jc w:val="both"/>
      </w:pPr>
      <w:r>
        <w:t>-</w:t>
      </w:r>
      <w:r>
        <w:tab/>
      </w:r>
      <w:r>
        <w:rPr>
          <w:rFonts w:hint="eastAsia"/>
        </w:rPr>
        <w:t>number of used physical antenna elements, or TX/RX RUs</w:t>
      </w:r>
    </w:p>
    <w:p w:rsidR="0048332A" w:rsidRDefault="008337A7">
      <w:pPr>
        <w:pStyle w:val="B10"/>
        <w:snapToGrid w:val="0"/>
        <w:spacing w:beforeLines="50" w:before="120" w:afterLines="50" w:after="120"/>
        <w:contextualSpacing w:val="0"/>
        <w:jc w:val="both"/>
      </w:pPr>
      <w:r>
        <w:rPr>
          <w:rFonts w:hint="eastAsia"/>
        </w:rPr>
        <w:t>-</w:t>
      </w:r>
      <w:r>
        <w:rPr>
          <w:rFonts w:hint="eastAsia"/>
        </w:rPr>
        <w:tab/>
        <w:t>occupied BW/RBs for DL and/or UL in a slot/symbol in one CC</w:t>
      </w:r>
    </w:p>
    <w:p w:rsidR="0048332A" w:rsidRDefault="008337A7">
      <w:pPr>
        <w:pStyle w:val="B10"/>
        <w:snapToGrid w:val="0"/>
        <w:spacing w:beforeLines="50" w:before="120" w:afterLines="50" w:after="120"/>
        <w:contextualSpacing w:val="0"/>
        <w:jc w:val="both"/>
      </w:pPr>
      <w:r>
        <w:rPr>
          <w:rFonts w:hint="eastAsia"/>
        </w:rPr>
        <w:t>-</w:t>
      </w:r>
      <w:r>
        <w:rPr>
          <w:rFonts w:hint="eastAsia"/>
        </w:rPr>
        <w:tab/>
        <w:t>number of CCs in CA</w:t>
      </w:r>
    </w:p>
    <w:p w:rsidR="0048332A" w:rsidRDefault="008337A7">
      <w:pPr>
        <w:pStyle w:val="B10"/>
        <w:snapToGrid w:val="0"/>
        <w:spacing w:beforeLines="50" w:before="120" w:afterLines="50" w:after="120"/>
        <w:contextualSpacing w:val="0"/>
        <w:jc w:val="both"/>
      </w:pPr>
      <w:r>
        <w:rPr>
          <w:rFonts w:hint="eastAsia"/>
        </w:rPr>
        <w:t>-</w:t>
      </w:r>
      <w:r>
        <w:rPr>
          <w:rFonts w:hint="eastAsia"/>
        </w:rPr>
        <w:tab/>
        <w:t>number of TRPs</w:t>
      </w:r>
    </w:p>
    <w:p w:rsidR="0048332A" w:rsidRDefault="008337A7">
      <w:pPr>
        <w:pStyle w:val="B10"/>
        <w:snapToGrid w:val="0"/>
        <w:spacing w:beforeLines="50" w:before="120" w:afterLines="50" w:after="120"/>
        <w:contextualSpacing w:val="0"/>
        <w:jc w:val="both"/>
      </w:pPr>
      <w:r>
        <w:rPr>
          <w:rFonts w:hint="eastAsia"/>
        </w:rPr>
        <w:t>-</w:t>
      </w:r>
      <w:r>
        <w:rPr>
          <w:rFonts w:hint="eastAsia"/>
        </w:rPr>
        <w:tab/>
        <w:t xml:space="preserve">PSD or transmit power </w:t>
      </w:r>
    </w:p>
    <w:p w:rsidR="0048332A" w:rsidRDefault="008337A7">
      <w:pPr>
        <w:pStyle w:val="B10"/>
        <w:snapToGrid w:val="0"/>
        <w:spacing w:beforeLines="50" w:before="120" w:afterLines="50" w:after="120"/>
        <w:contextualSpacing w:val="0"/>
        <w:jc w:val="both"/>
      </w:pPr>
      <w:r>
        <w:rPr>
          <w:rFonts w:hint="eastAsia"/>
        </w:rPr>
        <w:t>-</w:t>
      </w:r>
      <w:r>
        <w:rPr>
          <w:rFonts w:hint="eastAsia"/>
        </w:rPr>
        <w:tab/>
        <w:t>number of DL and/or UL symbols occupied within a slot</w:t>
      </w:r>
    </w:p>
    <w:p w:rsidR="0048332A" w:rsidRDefault="0048332A">
      <w:pPr>
        <w:pStyle w:val="B10"/>
        <w:snapToGrid w:val="0"/>
        <w:spacing w:before="120" w:after="120"/>
        <w:ind w:left="0" w:firstLine="0"/>
        <w:contextualSpacing w:val="0"/>
        <w:jc w:val="both"/>
      </w:pPr>
    </w:p>
    <w:p w:rsidR="0048332A" w:rsidRDefault="008337A7">
      <w:pPr>
        <w:numPr>
          <w:ilvl w:val="255"/>
          <w:numId w:val="0"/>
        </w:numPr>
        <w:snapToGrid w:val="0"/>
        <w:spacing w:before="120" w:after="120"/>
      </w:pPr>
      <w:r>
        <w:rPr>
          <w:rFonts w:eastAsiaTheme="minorEastAsia"/>
          <w:b/>
          <w:bCs/>
          <w:i/>
          <w:iCs/>
          <w:kern w:val="2"/>
          <w:sz w:val="20"/>
          <w:szCs w:val="20"/>
          <w:lang w:val="en-GB" w:eastAsia="en-US"/>
        </w:rPr>
        <w:t>Proposal</w:t>
      </w:r>
      <w:r>
        <w:rPr>
          <w:rFonts w:eastAsiaTheme="minorEastAsia" w:hint="eastAsia"/>
          <w:b/>
          <w:bCs/>
          <w:i/>
          <w:iCs/>
          <w:kern w:val="2"/>
          <w:sz w:val="20"/>
          <w:szCs w:val="20"/>
          <w:lang w:val="en-GB" w:eastAsia="en-US"/>
        </w:rPr>
        <w:t xml:space="preserve"> </w:t>
      </w:r>
      <w:r>
        <w:rPr>
          <w:rFonts w:eastAsiaTheme="minorEastAsia"/>
          <w:b/>
          <w:bCs/>
          <w:i/>
          <w:iCs/>
          <w:kern w:val="2"/>
          <w:sz w:val="20"/>
          <w:szCs w:val="20"/>
          <w:lang w:val="en-GB" w:eastAsia="en-US"/>
        </w:rPr>
        <w:t xml:space="preserve">3-1-5: </w:t>
      </w:r>
      <w:bookmarkStart w:id="11" w:name="_Toc12365"/>
      <w:r>
        <w:rPr>
          <w:i/>
          <w:sz w:val="20"/>
          <w:szCs w:val="20"/>
        </w:rPr>
        <w:t>For the non-sleep states, the scaling can be based on one or more of the following:</w:t>
      </w:r>
      <w:bookmarkEnd w:id="11"/>
    </w:p>
    <w:p w:rsidR="0048332A" w:rsidRDefault="008337A7">
      <w:pPr>
        <w:pStyle w:val="YJ-Proposal"/>
        <w:numPr>
          <w:ilvl w:val="0"/>
          <w:numId w:val="14"/>
        </w:numPr>
        <w:spacing w:before="120" w:after="120" w:line="260" w:lineRule="auto"/>
        <w:ind w:leftChars="200" w:left="860"/>
        <w:jc w:val="both"/>
        <w:rPr>
          <w:b w:val="0"/>
          <w:lang w:val="en-US" w:eastAsia="zh-CN"/>
        </w:rPr>
      </w:pPr>
      <w:bookmarkStart w:id="12" w:name="_Toc23741"/>
      <w:r>
        <w:rPr>
          <w:rFonts w:hint="eastAsia"/>
          <w:b w:val="0"/>
          <w:lang w:val="en-US" w:eastAsia="zh-CN"/>
        </w:rPr>
        <w:t>number of used physical antenna elements, or TX/RX RUs</w:t>
      </w:r>
    </w:p>
    <w:p w:rsidR="0048332A" w:rsidRDefault="008337A7">
      <w:pPr>
        <w:pStyle w:val="YJ-Proposal"/>
        <w:numPr>
          <w:ilvl w:val="0"/>
          <w:numId w:val="14"/>
        </w:numPr>
        <w:spacing w:before="120" w:after="120" w:line="260" w:lineRule="auto"/>
        <w:ind w:leftChars="200" w:left="860"/>
        <w:jc w:val="both"/>
        <w:rPr>
          <w:b w:val="0"/>
          <w:lang w:val="en-US" w:eastAsia="zh-CN"/>
        </w:rPr>
      </w:pPr>
      <w:r>
        <w:rPr>
          <w:rFonts w:hint="eastAsia"/>
          <w:b w:val="0"/>
          <w:lang w:val="en-US" w:eastAsia="zh-CN"/>
        </w:rPr>
        <w:t>occupied BW/RBs for DL and/or UL in a slot/symbol in one CC</w:t>
      </w:r>
    </w:p>
    <w:p w:rsidR="0048332A" w:rsidRDefault="008337A7">
      <w:pPr>
        <w:pStyle w:val="YJ-Proposal"/>
        <w:numPr>
          <w:ilvl w:val="0"/>
          <w:numId w:val="14"/>
        </w:numPr>
        <w:spacing w:before="120" w:after="120" w:line="260" w:lineRule="auto"/>
        <w:ind w:leftChars="200" w:left="860"/>
        <w:jc w:val="both"/>
        <w:rPr>
          <w:b w:val="0"/>
          <w:lang w:val="en-US" w:eastAsia="zh-CN"/>
        </w:rPr>
      </w:pPr>
      <w:r>
        <w:rPr>
          <w:rFonts w:hint="eastAsia"/>
          <w:b w:val="0"/>
          <w:lang w:val="en-US" w:eastAsia="zh-CN"/>
        </w:rPr>
        <w:t>number of CCs in CA</w:t>
      </w:r>
    </w:p>
    <w:p w:rsidR="0048332A" w:rsidRDefault="008337A7">
      <w:pPr>
        <w:pStyle w:val="YJ-Proposal"/>
        <w:numPr>
          <w:ilvl w:val="0"/>
          <w:numId w:val="14"/>
        </w:numPr>
        <w:spacing w:before="120" w:after="120" w:line="260" w:lineRule="auto"/>
        <w:ind w:leftChars="200" w:left="860"/>
        <w:jc w:val="both"/>
        <w:rPr>
          <w:b w:val="0"/>
          <w:lang w:val="en-US" w:eastAsia="zh-CN"/>
        </w:rPr>
      </w:pPr>
      <w:r>
        <w:rPr>
          <w:rFonts w:hint="eastAsia"/>
          <w:b w:val="0"/>
          <w:lang w:val="en-US" w:eastAsia="zh-CN"/>
        </w:rPr>
        <w:t>number of TRPs</w:t>
      </w:r>
    </w:p>
    <w:p w:rsidR="0048332A" w:rsidRDefault="008337A7">
      <w:pPr>
        <w:pStyle w:val="YJ-Proposal"/>
        <w:numPr>
          <w:ilvl w:val="0"/>
          <w:numId w:val="14"/>
        </w:numPr>
        <w:spacing w:before="120" w:after="120" w:line="260" w:lineRule="auto"/>
        <w:ind w:leftChars="200" w:left="860"/>
        <w:jc w:val="both"/>
        <w:rPr>
          <w:b w:val="0"/>
          <w:lang w:val="en-US" w:eastAsia="zh-CN"/>
        </w:rPr>
      </w:pPr>
      <w:r>
        <w:rPr>
          <w:rFonts w:hint="eastAsia"/>
          <w:b w:val="0"/>
          <w:lang w:val="en-US" w:eastAsia="zh-CN"/>
        </w:rPr>
        <w:t xml:space="preserve">PSD or transmit power </w:t>
      </w:r>
    </w:p>
    <w:p w:rsidR="0048332A" w:rsidRDefault="008337A7">
      <w:pPr>
        <w:pStyle w:val="YJ-Proposal"/>
        <w:numPr>
          <w:ilvl w:val="0"/>
          <w:numId w:val="14"/>
        </w:numPr>
        <w:spacing w:before="120" w:after="120" w:line="260" w:lineRule="auto"/>
        <w:ind w:leftChars="200" w:left="860"/>
        <w:jc w:val="both"/>
        <w:rPr>
          <w:b w:val="0"/>
          <w:lang w:val="en-US" w:eastAsia="zh-CN"/>
        </w:rPr>
      </w:pPr>
      <w:r>
        <w:rPr>
          <w:rFonts w:hint="eastAsia"/>
          <w:b w:val="0"/>
          <w:lang w:val="en-US" w:eastAsia="zh-CN"/>
        </w:rPr>
        <w:t>number of DL and/or UL symbols occupied within a slot</w:t>
      </w:r>
      <w:r>
        <w:rPr>
          <w:b w:val="0"/>
          <w:lang w:val="en-US" w:eastAsia="zh-CN"/>
        </w:rPr>
        <w:t>.</w:t>
      </w:r>
      <w:bookmarkEnd w:id="12"/>
    </w:p>
    <w:p w:rsidR="0048332A" w:rsidRDefault="008337A7">
      <w:pPr>
        <w:pStyle w:val="Heading4"/>
        <w:tabs>
          <w:tab w:val="left" w:pos="720"/>
        </w:tabs>
        <w:snapToGrid w:val="0"/>
        <w:spacing w:before="240" w:afterLines="50" w:after="120"/>
        <w:jc w:val="both"/>
        <w:rPr>
          <w:b/>
          <w:sz w:val="22"/>
        </w:rPr>
      </w:pPr>
      <w:r>
        <w:rPr>
          <w:rFonts w:hint="eastAsia"/>
          <w:b/>
          <w:sz w:val="22"/>
        </w:rPr>
        <w:t xml:space="preserve">3.1.1.2 </w:t>
      </w:r>
      <w:r>
        <w:rPr>
          <w:b/>
          <w:sz w:val="22"/>
        </w:rPr>
        <w:t>UE power consumption model</w:t>
      </w:r>
    </w:p>
    <w:p w:rsidR="0048332A" w:rsidRDefault="008337A7">
      <w:pPr>
        <w:numPr>
          <w:ilvl w:val="0"/>
          <w:numId w:val="12"/>
        </w:numPr>
        <w:spacing w:beforeLines="50" w:before="120" w:afterLines="50" w:after="120" w:line="259" w:lineRule="auto"/>
        <w:jc w:val="both"/>
        <w:rPr>
          <w:sz w:val="20"/>
          <w:szCs w:val="20"/>
        </w:rPr>
      </w:pPr>
      <w:r>
        <w:rPr>
          <w:rFonts w:hint="eastAsia"/>
          <w:b/>
          <w:bCs/>
          <w:sz w:val="20"/>
          <w:szCs w:val="20"/>
        </w:rPr>
        <w:t>Reference configurations for 6GR UE</w:t>
      </w:r>
    </w:p>
    <w:p w:rsidR="0048332A" w:rsidRDefault="008337A7">
      <w:pPr>
        <w:spacing w:before="120" w:after="120"/>
        <w:jc w:val="both"/>
        <w:rPr>
          <w:sz w:val="20"/>
          <w:szCs w:val="20"/>
        </w:rPr>
      </w:pPr>
      <w:r>
        <w:rPr>
          <w:rFonts w:hint="eastAsia"/>
          <w:sz w:val="20"/>
          <w:szCs w:val="20"/>
        </w:rPr>
        <w:t xml:space="preserve">Similarly, reference configurations must be defined for the UE power consumption model. However, unlike the </w:t>
      </w:r>
      <w:r>
        <w:rPr>
          <w:sz w:val="20"/>
          <w:szCs w:val="20"/>
        </w:rPr>
        <w:t>BS</w:t>
      </w:r>
      <w:r>
        <w:rPr>
          <w:rFonts w:hint="eastAsia"/>
          <w:sz w:val="20"/>
          <w:szCs w:val="20"/>
        </w:rPr>
        <w:t>, the detection processes for PDCCH, PDSCH, and downlink reference signals differ significantly in terms of implementation. For instance, PDCCH reception involves blind detection, whereas downlink reference signal detection relies on correlation rather than decoding. As a result, the reception power consumption and the corresponding reference configurations should account for these differences.</w:t>
      </w:r>
    </w:p>
    <w:p w:rsidR="0048332A" w:rsidRDefault="008337A7">
      <w:pPr>
        <w:spacing w:before="120" w:after="120"/>
        <w:jc w:val="both"/>
        <w:rPr>
          <w:sz w:val="20"/>
          <w:szCs w:val="20"/>
        </w:rPr>
      </w:pPr>
      <w:r>
        <w:rPr>
          <w:rFonts w:hint="eastAsia"/>
          <w:sz w:val="20"/>
          <w:szCs w:val="20"/>
        </w:rPr>
        <w:t xml:space="preserve">Currently, TR 38.840 only considers two reference configurations for UE power consumption: FR1 TDD and FR2 TDD. To enable a comprehensive evaluation of energy efficiency for both UE and BS, we propose to develop a complete UE power consumption model that covers all frequency ranges and duplex modes, consistent with those defined for BS in </w:t>
      </w:r>
      <w:r>
        <w:rPr>
          <w:sz w:val="20"/>
        </w:rPr>
        <w:t xml:space="preserve">Table </w:t>
      </w:r>
      <w:r>
        <w:rPr>
          <w:rFonts w:hint="eastAsia"/>
          <w:sz w:val="20"/>
        </w:rPr>
        <w:t>3-1-1</w:t>
      </w:r>
      <w:r>
        <w:rPr>
          <w:sz w:val="20"/>
          <w:szCs w:val="20"/>
        </w:rPr>
        <w:t>.</w:t>
      </w:r>
    </w:p>
    <w:p w:rsidR="0048332A" w:rsidRDefault="008337A7">
      <w:pPr>
        <w:numPr>
          <w:ilvl w:val="255"/>
          <w:numId w:val="0"/>
        </w:numPr>
        <w:spacing w:before="120" w:after="120"/>
        <w:rPr>
          <w:i/>
          <w:sz w:val="20"/>
          <w:szCs w:val="20"/>
        </w:rPr>
      </w:pPr>
      <w:r>
        <w:rPr>
          <w:b/>
          <w:i/>
          <w:sz w:val="20"/>
          <w:szCs w:val="20"/>
        </w:rPr>
        <w:t>Proposal</w:t>
      </w:r>
      <w:r>
        <w:rPr>
          <w:rFonts w:hint="eastAsia"/>
          <w:b/>
          <w:i/>
          <w:sz w:val="20"/>
          <w:szCs w:val="20"/>
        </w:rPr>
        <w:t xml:space="preserve"> </w:t>
      </w:r>
      <w:r>
        <w:rPr>
          <w:b/>
          <w:i/>
          <w:sz w:val="20"/>
          <w:szCs w:val="20"/>
        </w:rPr>
        <w:t>3-1-</w:t>
      </w:r>
      <w:r>
        <w:rPr>
          <w:rFonts w:hint="eastAsia"/>
          <w:b/>
          <w:i/>
          <w:sz w:val="20"/>
          <w:szCs w:val="20"/>
        </w:rPr>
        <w:t>6</w:t>
      </w:r>
      <w:r>
        <w:rPr>
          <w:b/>
          <w:i/>
          <w:sz w:val="20"/>
          <w:szCs w:val="20"/>
        </w:rPr>
        <w:t>:</w:t>
      </w:r>
      <w:r>
        <w:rPr>
          <w:i/>
          <w:sz w:val="20"/>
          <w:szCs w:val="20"/>
        </w:rPr>
        <w:t xml:space="preserve"> </w:t>
      </w:r>
      <w:r>
        <w:rPr>
          <w:rFonts w:hint="eastAsia"/>
          <w:i/>
          <w:sz w:val="20"/>
          <w:szCs w:val="20"/>
        </w:rPr>
        <w:t xml:space="preserve">Table </w:t>
      </w:r>
      <w:r>
        <w:rPr>
          <w:i/>
          <w:sz w:val="20"/>
          <w:szCs w:val="20"/>
        </w:rPr>
        <w:t>3-1-3</w:t>
      </w:r>
      <w:r>
        <w:rPr>
          <w:rFonts w:hint="eastAsia"/>
          <w:i/>
          <w:sz w:val="20"/>
          <w:szCs w:val="20"/>
        </w:rPr>
        <w:t xml:space="preserve"> can be used as a starting point for reference configuration for UE power consumption model.</w:t>
      </w:r>
    </w:p>
    <w:p w:rsidR="0048332A" w:rsidRDefault="008337A7">
      <w:pPr>
        <w:spacing w:before="120" w:after="120"/>
        <w:jc w:val="center"/>
        <w:rPr>
          <w:sz w:val="20"/>
          <w:szCs w:val="20"/>
        </w:rPr>
      </w:pPr>
      <w:r>
        <w:rPr>
          <w:b/>
          <w:sz w:val="20"/>
          <w:szCs w:val="20"/>
          <w:lang w:val="en-GB" w:eastAsia="en-US"/>
        </w:rPr>
        <w:t>Table 3-1-3</w:t>
      </w:r>
      <w:r>
        <w:rPr>
          <w:sz w:val="20"/>
          <w:szCs w:val="20"/>
        </w:rPr>
        <w:t xml:space="preserve"> Reference configuration</w:t>
      </w:r>
      <w:r>
        <w:rPr>
          <w:rFonts w:hint="eastAsia"/>
          <w:sz w:val="20"/>
          <w:szCs w:val="20"/>
        </w:rPr>
        <w:t xml:space="preserve"> for UE power consumption model</w:t>
      </w:r>
    </w:p>
    <w:tbl>
      <w:tblPr>
        <w:tblStyle w:val="TableGrid"/>
        <w:tblW w:w="0" w:type="auto"/>
        <w:jc w:val="center"/>
        <w:tblLook w:val="04A0" w:firstRow="1" w:lastRow="0" w:firstColumn="1" w:lastColumn="0" w:noHBand="0" w:noVBand="1"/>
      </w:tblPr>
      <w:tblGrid>
        <w:gridCol w:w="3024"/>
        <w:gridCol w:w="1244"/>
        <w:gridCol w:w="1576"/>
        <w:gridCol w:w="1584"/>
        <w:gridCol w:w="1576"/>
      </w:tblGrid>
      <w:tr w:rsidR="0048332A">
        <w:trPr>
          <w:trHeight w:val="229"/>
          <w:jc w:val="center"/>
        </w:trPr>
        <w:tc>
          <w:tcPr>
            <w:tcW w:w="3024" w:type="dxa"/>
          </w:tcPr>
          <w:p w:rsidR="0048332A" w:rsidRDefault="0048332A">
            <w:pPr>
              <w:pStyle w:val="TAH"/>
              <w:snapToGrid w:val="0"/>
              <w:rPr>
                <w:rFonts w:ascii="Times New Roman" w:hAnsi="Times New Roman"/>
                <w:sz w:val="20"/>
              </w:rPr>
            </w:pPr>
          </w:p>
        </w:tc>
        <w:tc>
          <w:tcPr>
            <w:tcW w:w="1244" w:type="dxa"/>
          </w:tcPr>
          <w:p w:rsidR="0048332A" w:rsidRDefault="008337A7">
            <w:pPr>
              <w:pStyle w:val="TAH"/>
              <w:snapToGrid w:val="0"/>
              <w:rPr>
                <w:rFonts w:ascii="Times New Roman" w:hAnsi="Times New Roman"/>
                <w:sz w:val="20"/>
              </w:rPr>
            </w:pPr>
            <w:r>
              <w:rPr>
                <w:rFonts w:ascii="Times New Roman" w:hAnsi="Times New Roman"/>
                <w:sz w:val="20"/>
              </w:rPr>
              <w:t>Set 1 FR1</w:t>
            </w:r>
          </w:p>
        </w:tc>
        <w:tc>
          <w:tcPr>
            <w:tcW w:w="1576" w:type="dxa"/>
          </w:tcPr>
          <w:p w:rsidR="0048332A" w:rsidRDefault="008337A7">
            <w:pPr>
              <w:pStyle w:val="TAH"/>
              <w:snapToGrid w:val="0"/>
              <w:rPr>
                <w:rFonts w:ascii="Times New Roman" w:hAnsi="Times New Roman"/>
                <w:sz w:val="20"/>
              </w:rPr>
            </w:pPr>
            <w:r>
              <w:rPr>
                <w:rFonts w:ascii="Times New Roman" w:hAnsi="Times New Roman"/>
                <w:sz w:val="20"/>
              </w:rPr>
              <w:t>Set 2 FR1</w:t>
            </w:r>
          </w:p>
        </w:tc>
        <w:tc>
          <w:tcPr>
            <w:tcW w:w="1584" w:type="dxa"/>
          </w:tcPr>
          <w:p w:rsidR="0048332A" w:rsidRDefault="008337A7">
            <w:pPr>
              <w:pStyle w:val="TAH"/>
              <w:snapToGrid w:val="0"/>
              <w:rPr>
                <w:rFonts w:ascii="Times New Roman" w:hAnsi="Times New Roman"/>
                <w:sz w:val="20"/>
              </w:rPr>
            </w:pPr>
            <w:r>
              <w:rPr>
                <w:rFonts w:ascii="Times New Roman" w:hAnsi="Times New Roman"/>
                <w:sz w:val="20"/>
              </w:rPr>
              <w:t>Set 3 FR2</w:t>
            </w:r>
          </w:p>
        </w:tc>
        <w:tc>
          <w:tcPr>
            <w:tcW w:w="1576" w:type="dxa"/>
          </w:tcPr>
          <w:p w:rsidR="0048332A" w:rsidRDefault="008337A7">
            <w:pPr>
              <w:pStyle w:val="TAH"/>
              <w:snapToGrid w:val="0"/>
              <w:rPr>
                <w:rFonts w:ascii="Times New Roman" w:hAnsi="Times New Roman"/>
                <w:sz w:val="20"/>
              </w:rPr>
            </w:pPr>
            <w:r>
              <w:rPr>
                <w:rFonts w:ascii="Times New Roman" w:hAnsi="Times New Roman"/>
                <w:sz w:val="20"/>
              </w:rPr>
              <w:t>Set 4 FR3</w:t>
            </w:r>
          </w:p>
        </w:tc>
      </w:tr>
      <w:tr w:rsidR="0048332A">
        <w:trPr>
          <w:trHeight w:val="229"/>
          <w:jc w:val="center"/>
        </w:trPr>
        <w:tc>
          <w:tcPr>
            <w:tcW w:w="3024" w:type="dxa"/>
          </w:tcPr>
          <w:p w:rsidR="0048332A" w:rsidRDefault="008337A7">
            <w:pPr>
              <w:pStyle w:val="TAL"/>
              <w:snapToGrid w:val="0"/>
              <w:rPr>
                <w:rFonts w:ascii="Times New Roman" w:hAnsi="Times New Roman"/>
                <w:sz w:val="20"/>
              </w:rPr>
            </w:pPr>
            <w:r>
              <w:rPr>
                <w:rFonts w:ascii="Times New Roman" w:hAnsi="Times New Roman"/>
                <w:sz w:val="20"/>
              </w:rPr>
              <w:t>Duplex</w:t>
            </w:r>
          </w:p>
        </w:tc>
        <w:tc>
          <w:tcPr>
            <w:tcW w:w="1244" w:type="dxa"/>
          </w:tcPr>
          <w:p w:rsidR="0048332A" w:rsidRDefault="008337A7">
            <w:pPr>
              <w:pStyle w:val="TAL"/>
              <w:snapToGrid w:val="0"/>
              <w:jc w:val="center"/>
              <w:rPr>
                <w:rFonts w:ascii="Times New Roman" w:hAnsi="Times New Roman"/>
                <w:sz w:val="20"/>
              </w:rPr>
            </w:pPr>
            <w:r>
              <w:rPr>
                <w:rFonts w:ascii="Times New Roman" w:hAnsi="Times New Roman"/>
                <w:sz w:val="20"/>
              </w:rPr>
              <w:t>TDD</w:t>
            </w:r>
          </w:p>
        </w:tc>
        <w:tc>
          <w:tcPr>
            <w:tcW w:w="1576" w:type="dxa"/>
          </w:tcPr>
          <w:p w:rsidR="0048332A" w:rsidRDefault="008337A7">
            <w:pPr>
              <w:pStyle w:val="TAL"/>
              <w:snapToGrid w:val="0"/>
              <w:jc w:val="center"/>
              <w:rPr>
                <w:rFonts w:ascii="Times New Roman" w:hAnsi="Times New Roman"/>
                <w:sz w:val="20"/>
              </w:rPr>
            </w:pPr>
            <w:r>
              <w:rPr>
                <w:rFonts w:ascii="Times New Roman" w:hAnsi="Times New Roman"/>
                <w:sz w:val="20"/>
              </w:rPr>
              <w:t>FDD</w:t>
            </w:r>
          </w:p>
        </w:tc>
        <w:tc>
          <w:tcPr>
            <w:tcW w:w="1584" w:type="dxa"/>
          </w:tcPr>
          <w:p w:rsidR="0048332A" w:rsidRDefault="008337A7">
            <w:pPr>
              <w:pStyle w:val="TAL"/>
              <w:snapToGrid w:val="0"/>
              <w:jc w:val="center"/>
              <w:rPr>
                <w:rFonts w:ascii="Times New Roman" w:hAnsi="Times New Roman"/>
                <w:sz w:val="20"/>
              </w:rPr>
            </w:pPr>
            <w:r>
              <w:rPr>
                <w:rFonts w:ascii="Times New Roman" w:hAnsi="Times New Roman"/>
                <w:sz w:val="20"/>
              </w:rPr>
              <w:t>TDD</w:t>
            </w:r>
          </w:p>
        </w:tc>
        <w:tc>
          <w:tcPr>
            <w:tcW w:w="1576" w:type="dxa"/>
          </w:tcPr>
          <w:p w:rsidR="0048332A" w:rsidRDefault="008337A7">
            <w:pPr>
              <w:pStyle w:val="TAL"/>
              <w:snapToGrid w:val="0"/>
              <w:jc w:val="center"/>
              <w:rPr>
                <w:rFonts w:ascii="Times New Roman" w:hAnsi="Times New Roman"/>
                <w:sz w:val="20"/>
              </w:rPr>
            </w:pPr>
            <w:r>
              <w:rPr>
                <w:rFonts w:ascii="Times New Roman" w:hAnsi="Times New Roman"/>
                <w:sz w:val="20"/>
              </w:rPr>
              <w:t>TDD</w:t>
            </w:r>
          </w:p>
        </w:tc>
      </w:tr>
      <w:tr w:rsidR="0048332A">
        <w:trPr>
          <w:jc w:val="center"/>
        </w:trPr>
        <w:tc>
          <w:tcPr>
            <w:tcW w:w="3024" w:type="dxa"/>
            <w:vAlign w:val="center"/>
          </w:tcPr>
          <w:p w:rsidR="0048332A" w:rsidRDefault="008337A7">
            <w:pPr>
              <w:snapToGrid w:val="0"/>
              <w:rPr>
                <w:sz w:val="20"/>
              </w:rPr>
            </w:pPr>
            <w:r>
              <w:rPr>
                <w:sz w:val="20"/>
              </w:rPr>
              <w:t>Subcarrier spacing (SCS)</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sz w:val="20"/>
              </w:rPr>
              <w:t>System Bandwidth</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sz w:val="20"/>
              </w:rPr>
              <w:t>PDCCH</w:t>
            </w:r>
            <w:r>
              <w:rPr>
                <w:rFonts w:hint="eastAsia"/>
                <w:sz w:val="20"/>
              </w:rPr>
              <w:t xml:space="preserve"> configuration, including blind detection times, time/frequency configurations</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sz w:val="20"/>
              </w:rPr>
              <w:t xml:space="preserve">PDSCH </w:t>
            </w:r>
            <w:r>
              <w:rPr>
                <w:rFonts w:hint="eastAsia"/>
                <w:sz w:val="20"/>
              </w:rPr>
              <w:t xml:space="preserve">configuration corresponding to </w:t>
            </w:r>
            <w:r>
              <w:rPr>
                <w:sz w:val="20"/>
              </w:rPr>
              <w:t>of max data rate</w:t>
            </w:r>
            <w:r>
              <w:rPr>
                <w:rFonts w:hint="eastAsia"/>
                <w:sz w:val="20"/>
              </w:rPr>
              <w:t>, including time/frequency/spatial configurations</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rFonts w:hint="eastAsia"/>
                <w:sz w:val="20"/>
              </w:rPr>
              <w:lastRenderedPageBreak/>
              <w:t xml:space="preserve">DL reference signal configuration including time/frequency/spatial configurations </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sz w:val="20"/>
              </w:rPr>
              <w:t>Tx antenna configuration</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rFonts w:hint="eastAsia"/>
                <w:sz w:val="20"/>
              </w:rPr>
              <w:t>R</w:t>
            </w:r>
            <w:r>
              <w:rPr>
                <w:sz w:val="20"/>
              </w:rPr>
              <w:t>x antenna configuration</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r w:rsidR="0048332A">
        <w:trPr>
          <w:jc w:val="center"/>
        </w:trPr>
        <w:tc>
          <w:tcPr>
            <w:tcW w:w="3024" w:type="dxa"/>
            <w:vAlign w:val="center"/>
          </w:tcPr>
          <w:p w:rsidR="0048332A" w:rsidRDefault="008337A7">
            <w:pPr>
              <w:snapToGrid w:val="0"/>
              <w:rPr>
                <w:sz w:val="20"/>
              </w:rPr>
            </w:pPr>
            <w:r>
              <w:rPr>
                <w:rFonts w:hint="eastAsia"/>
                <w:sz w:val="20"/>
              </w:rPr>
              <w:t>Transmission power</w:t>
            </w:r>
          </w:p>
        </w:tc>
        <w:tc>
          <w:tcPr>
            <w:tcW w:w="124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c>
          <w:tcPr>
            <w:tcW w:w="1584" w:type="dxa"/>
            <w:vAlign w:val="center"/>
          </w:tcPr>
          <w:p w:rsidR="0048332A" w:rsidRDefault="0048332A">
            <w:pPr>
              <w:snapToGrid w:val="0"/>
              <w:jc w:val="center"/>
              <w:rPr>
                <w:sz w:val="20"/>
                <w:szCs w:val="20"/>
              </w:rPr>
            </w:pPr>
          </w:p>
        </w:tc>
        <w:tc>
          <w:tcPr>
            <w:tcW w:w="1576" w:type="dxa"/>
            <w:vAlign w:val="center"/>
          </w:tcPr>
          <w:p w:rsidR="0048332A" w:rsidRDefault="0048332A">
            <w:pPr>
              <w:snapToGrid w:val="0"/>
              <w:jc w:val="center"/>
              <w:rPr>
                <w:sz w:val="20"/>
                <w:szCs w:val="20"/>
              </w:rPr>
            </w:pPr>
          </w:p>
        </w:tc>
      </w:tr>
    </w:tbl>
    <w:p w:rsidR="0048332A" w:rsidRDefault="008337A7">
      <w:pPr>
        <w:numPr>
          <w:ilvl w:val="0"/>
          <w:numId w:val="12"/>
        </w:numPr>
        <w:spacing w:beforeLines="50" w:before="120" w:afterLines="50" w:after="120" w:line="259" w:lineRule="auto"/>
        <w:jc w:val="both"/>
        <w:rPr>
          <w:b/>
          <w:bCs/>
          <w:sz w:val="20"/>
          <w:szCs w:val="20"/>
        </w:rPr>
      </w:pPr>
      <w:r>
        <w:rPr>
          <w:rFonts w:hint="eastAsia"/>
          <w:b/>
          <w:bCs/>
          <w:sz w:val="20"/>
          <w:szCs w:val="20"/>
        </w:rPr>
        <w:t>Power states</w:t>
      </w:r>
    </w:p>
    <w:p w:rsidR="0048332A" w:rsidRDefault="008337A7">
      <w:pPr>
        <w:numPr>
          <w:ilvl w:val="255"/>
          <w:numId w:val="0"/>
        </w:numPr>
        <w:spacing w:beforeLines="50" w:before="120" w:afterLines="50" w:after="120"/>
        <w:jc w:val="both"/>
        <w:rPr>
          <w:sz w:val="20"/>
          <w:szCs w:val="20"/>
        </w:rPr>
      </w:pPr>
      <w:r>
        <w:rPr>
          <w:rFonts w:hint="eastAsia"/>
          <w:sz w:val="20"/>
          <w:szCs w:val="20"/>
        </w:rPr>
        <w:t>WUS is an effectively solution to reduce UE power consumption and the power consumption has been discussed in Rel-17 PEI and Rel-18 WUS. Therefore, the power states of WUS can be also considered in addition to those in TR38.840.</w:t>
      </w:r>
    </w:p>
    <w:p w:rsidR="0048332A" w:rsidRDefault="008337A7">
      <w:pPr>
        <w:pStyle w:val="TH"/>
        <w:spacing w:before="120" w:after="120"/>
        <w:rPr>
          <w:rFonts w:ascii="Times New Roman" w:hAnsi="Times New Roman"/>
        </w:rPr>
      </w:pPr>
      <w:r>
        <w:rPr>
          <w:rFonts w:ascii="Times New Roman" w:hAnsi="Times New Roman"/>
        </w:rPr>
        <w:t xml:space="preserve">Table </w:t>
      </w:r>
      <w:r>
        <w:rPr>
          <w:rFonts w:ascii="Times New Roman" w:hAnsi="Times New Roman"/>
          <w:lang w:val="en-US"/>
        </w:rPr>
        <w:t>3-1-4</w:t>
      </w:r>
      <w:r>
        <w:rPr>
          <w:rFonts w:ascii="Times New Roman" w:hAnsi="Times New Roman"/>
        </w:rPr>
        <w:t xml:space="preserve"> </w:t>
      </w:r>
      <w:r>
        <w:rPr>
          <w:rFonts w:ascii="Times New Roman" w:hAnsi="Times New Roman"/>
          <w:b w:val="0"/>
        </w:rPr>
        <w:t xml:space="preserve">Power states of </w:t>
      </w:r>
      <w:r>
        <w:rPr>
          <w:rFonts w:ascii="Times New Roman" w:hAnsi="Times New Roman" w:hint="eastAsia"/>
          <w:b w:val="0"/>
          <w:lang w:val="en-US"/>
        </w:rPr>
        <w:t>UE</w:t>
      </w:r>
      <w:r>
        <w:rPr>
          <w:rFonts w:ascii="Times New Roman" w:hAnsi="Times New Roman"/>
          <w:b w:val="0"/>
        </w:rPr>
        <w:t xml:space="preserve"> power consumption model</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9"/>
        <w:gridCol w:w="4250"/>
        <w:gridCol w:w="1228"/>
        <w:gridCol w:w="1280"/>
        <w:gridCol w:w="1500"/>
      </w:tblGrid>
      <w:tr w:rsidR="0048332A">
        <w:trPr>
          <w:trHeight w:val="547"/>
          <w:jc w:val="center"/>
        </w:trPr>
        <w:tc>
          <w:tcPr>
            <w:tcW w:w="1359" w:type="dxa"/>
            <w:shd w:val="clear" w:color="auto" w:fill="auto"/>
            <w:tcMar>
              <w:top w:w="54" w:type="dxa"/>
              <w:left w:w="108" w:type="dxa"/>
              <w:bottom w:w="54" w:type="dxa"/>
              <w:right w:w="108" w:type="dxa"/>
            </w:tcMar>
          </w:tcPr>
          <w:p w:rsidR="0048332A" w:rsidRDefault="008337A7">
            <w:pPr>
              <w:pStyle w:val="TAH"/>
              <w:snapToGrid w:val="0"/>
              <w:rPr>
                <w:rFonts w:ascii="Times New Roman" w:hAnsi="Times New Roman"/>
                <w:sz w:val="20"/>
              </w:rPr>
            </w:pPr>
            <w:r>
              <w:rPr>
                <w:rFonts w:ascii="Times New Roman" w:hAnsi="Times New Roman"/>
                <w:sz w:val="20"/>
              </w:rPr>
              <w:t>Power State</w:t>
            </w:r>
          </w:p>
        </w:tc>
        <w:tc>
          <w:tcPr>
            <w:tcW w:w="4250" w:type="dxa"/>
            <w:shd w:val="clear" w:color="auto" w:fill="auto"/>
            <w:tcMar>
              <w:top w:w="54" w:type="dxa"/>
              <w:left w:w="108" w:type="dxa"/>
              <w:bottom w:w="54" w:type="dxa"/>
              <w:right w:w="108" w:type="dxa"/>
            </w:tcMar>
          </w:tcPr>
          <w:p w:rsidR="0048332A" w:rsidRDefault="008337A7">
            <w:pPr>
              <w:pStyle w:val="TAH"/>
              <w:snapToGrid w:val="0"/>
              <w:rPr>
                <w:rFonts w:ascii="Times New Roman" w:hAnsi="Times New Roman"/>
                <w:sz w:val="20"/>
              </w:rPr>
            </w:pPr>
            <w:r>
              <w:rPr>
                <w:rFonts w:ascii="Times New Roman" w:hAnsi="Times New Roman"/>
                <w:sz w:val="20"/>
              </w:rPr>
              <w:t>Characteristics</w:t>
            </w:r>
          </w:p>
        </w:tc>
        <w:tc>
          <w:tcPr>
            <w:tcW w:w="1228" w:type="dxa"/>
            <w:shd w:val="clear" w:color="auto" w:fill="auto"/>
            <w:tcMar>
              <w:top w:w="54" w:type="dxa"/>
              <w:left w:w="108" w:type="dxa"/>
              <w:bottom w:w="54" w:type="dxa"/>
              <w:right w:w="108" w:type="dxa"/>
            </w:tcMar>
          </w:tcPr>
          <w:p w:rsidR="0048332A" w:rsidRDefault="008337A7">
            <w:pPr>
              <w:pStyle w:val="TAH"/>
              <w:snapToGrid w:val="0"/>
              <w:rPr>
                <w:rFonts w:ascii="Times New Roman" w:hAnsi="Times New Roman"/>
                <w:sz w:val="20"/>
              </w:rPr>
            </w:pPr>
            <w:r>
              <w:rPr>
                <w:rFonts w:ascii="Times New Roman" w:hAnsi="Times New Roman"/>
                <w:sz w:val="20"/>
              </w:rPr>
              <w:t xml:space="preserve">Relative Power </w:t>
            </w:r>
          </w:p>
        </w:tc>
        <w:tc>
          <w:tcPr>
            <w:tcW w:w="1280" w:type="dxa"/>
            <w:shd w:val="clear" w:color="auto" w:fill="auto"/>
            <w:tcMar>
              <w:top w:w="54" w:type="dxa"/>
              <w:left w:w="108" w:type="dxa"/>
              <w:bottom w:w="54" w:type="dxa"/>
              <w:right w:w="108" w:type="dxa"/>
            </w:tcMar>
          </w:tcPr>
          <w:p w:rsidR="0048332A" w:rsidRDefault="008337A7">
            <w:pPr>
              <w:pStyle w:val="TAH"/>
              <w:snapToGrid w:val="0"/>
              <w:rPr>
                <w:rFonts w:ascii="Times New Roman" w:hAnsi="Times New Roman"/>
                <w:sz w:val="20"/>
              </w:rPr>
            </w:pPr>
            <w:r>
              <w:rPr>
                <w:rFonts w:ascii="Times New Roman" w:hAnsi="Times New Roman"/>
                <w:sz w:val="20"/>
              </w:rPr>
              <w:t>Additional transition energy</w:t>
            </w:r>
            <w:r>
              <w:rPr>
                <w:rFonts w:ascii="Times New Roman" w:hAnsi="Times New Roman"/>
                <w:sz w:val="20"/>
                <w:vertAlign w:val="superscript"/>
              </w:rPr>
              <w:t xml:space="preserve"> </w:t>
            </w:r>
            <w:r>
              <w:rPr>
                <w:rFonts w:ascii="Times New Roman" w:hAnsi="Times New Roman"/>
                <w:i/>
                <w:sz w:val="20"/>
              </w:rPr>
              <w:t>E</w:t>
            </w:r>
          </w:p>
        </w:tc>
        <w:tc>
          <w:tcPr>
            <w:tcW w:w="1500" w:type="dxa"/>
            <w:shd w:val="clear" w:color="auto" w:fill="auto"/>
            <w:tcMar>
              <w:top w:w="54" w:type="dxa"/>
              <w:left w:w="108" w:type="dxa"/>
              <w:bottom w:w="54" w:type="dxa"/>
              <w:right w:w="108" w:type="dxa"/>
            </w:tcMar>
          </w:tcPr>
          <w:p w:rsidR="0048332A" w:rsidRDefault="008337A7">
            <w:pPr>
              <w:pStyle w:val="TAH"/>
              <w:snapToGrid w:val="0"/>
              <w:rPr>
                <w:rFonts w:ascii="Times New Roman" w:hAnsi="Times New Roman"/>
                <w:sz w:val="20"/>
              </w:rPr>
            </w:pPr>
            <w:r>
              <w:rPr>
                <w:rFonts w:ascii="Times New Roman" w:hAnsi="Times New Roman"/>
                <w:sz w:val="20"/>
              </w:rPr>
              <w:t>Total transition time</w:t>
            </w:r>
            <w:r>
              <w:rPr>
                <w:rFonts w:ascii="Times New Roman" w:hAnsi="Times New Roman"/>
                <w:i/>
                <w:sz w:val="20"/>
              </w:rPr>
              <w:t xml:space="preserve"> T</w:t>
            </w:r>
          </w:p>
        </w:tc>
      </w:tr>
      <w:tr w:rsidR="0048332A">
        <w:trPr>
          <w:trHeight w:val="655"/>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lang w:val="en-US" w:eastAsia="zh-CN"/>
              </w:rPr>
            </w:pPr>
            <w:proofErr w:type="spellStart"/>
            <w:r>
              <w:rPr>
                <w:rFonts w:ascii="Times New Roman" w:hAnsi="Times New Roman" w:hint="eastAsia"/>
                <w:sz w:val="20"/>
                <w:lang w:val="en-US" w:eastAsia="zh-CN"/>
              </w:rPr>
              <w:t>Ultra Deep</w:t>
            </w:r>
            <w:proofErr w:type="spellEnd"/>
            <w:r>
              <w:rPr>
                <w:rFonts w:ascii="Times New Roman" w:hAnsi="Times New Roman" w:hint="eastAsia"/>
                <w:sz w:val="20"/>
                <w:lang w:val="en-US" w:eastAsia="zh-CN"/>
              </w:rPr>
              <w:t xml:space="preserve"> Sleep</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Time interval for the sleep should be larger than the total transition time entering and leaving this state. Accurate timing may not be maintained.</w:t>
            </w:r>
          </w:p>
        </w:tc>
        <w:tc>
          <w:tcPr>
            <w:tcW w:w="1228"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28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50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r>
      <w:tr w:rsidR="0048332A">
        <w:trPr>
          <w:trHeight w:val="655"/>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Deep Sleep</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Time interval for the sleep should be larger than the total transition time entering and leaving this state. Accurate timing may not be maintained.</w:t>
            </w:r>
          </w:p>
        </w:tc>
        <w:tc>
          <w:tcPr>
            <w:tcW w:w="1228"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28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50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Light Sleep</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 xml:space="preserve">Time interval for the sleep should be larger than the total transition time entering and leaving this state. </w:t>
            </w:r>
          </w:p>
        </w:tc>
        <w:tc>
          <w:tcPr>
            <w:tcW w:w="1228"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28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1500"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Micro sleep</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Immediate transition is assumed for power saving study purpose from or to a non-sleep state</w:t>
            </w:r>
          </w:p>
        </w:tc>
        <w:tc>
          <w:tcPr>
            <w:tcW w:w="1228"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1280"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1500"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PDCCH-only</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There is only PDCCH reception.</w:t>
            </w:r>
          </w:p>
        </w:tc>
        <w:tc>
          <w:tcPr>
            <w:tcW w:w="1228"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2780" w:type="dxa"/>
            <w:gridSpan w:val="2"/>
            <w:vMerge w:val="restart"/>
            <w:shd w:val="clear" w:color="auto" w:fill="auto"/>
            <w:tcMar>
              <w:top w:w="54" w:type="dxa"/>
              <w:left w:w="108" w:type="dxa"/>
              <w:bottom w:w="54" w:type="dxa"/>
              <w:right w:w="108" w:type="dxa"/>
            </w:tcMar>
            <w:vAlign w:val="center"/>
          </w:tcPr>
          <w:p w:rsidR="0048332A" w:rsidRDefault="008337A7">
            <w:pPr>
              <w:pStyle w:val="TAL"/>
              <w:snapToGrid w:val="0"/>
              <w:rPr>
                <w:rFonts w:ascii="Times New Roman" w:hAnsi="Times New Roman"/>
                <w:sz w:val="20"/>
              </w:rPr>
            </w:pPr>
            <w:r>
              <w:rPr>
                <w:rFonts w:ascii="Times New Roman" w:hAnsi="Times New Roman"/>
                <w:sz w:val="20"/>
              </w:rPr>
              <w:t>N.A.</w:t>
            </w: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DL reference signal</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There is only DL reference reception.</w:t>
            </w:r>
          </w:p>
        </w:tc>
        <w:tc>
          <w:tcPr>
            <w:tcW w:w="1228"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2780" w:type="dxa"/>
            <w:gridSpan w:val="2"/>
            <w:vMerge/>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PDSCH</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There is only PDSCH reception.</w:t>
            </w:r>
          </w:p>
        </w:tc>
        <w:tc>
          <w:tcPr>
            <w:tcW w:w="1228"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2780" w:type="dxa"/>
            <w:gridSpan w:val="2"/>
            <w:vMerge/>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WUS</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hint="eastAsia"/>
                <w:sz w:val="20"/>
                <w:lang w:val="en-US" w:eastAsia="zh-CN"/>
              </w:rPr>
              <w:t>Indicate UE to wake up.</w:t>
            </w:r>
          </w:p>
        </w:tc>
        <w:tc>
          <w:tcPr>
            <w:tcW w:w="1228" w:type="dxa"/>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c>
          <w:tcPr>
            <w:tcW w:w="2780" w:type="dxa"/>
            <w:gridSpan w:val="2"/>
            <w:vMerge/>
            <w:shd w:val="clear" w:color="auto" w:fill="auto"/>
            <w:tcMar>
              <w:top w:w="54" w:type="dxa"/>
              <w:left w:w="108" w:type="dxa"/>
              <w:bottom w:w="54" w:type="dxa"/>
              <w:right w:w="108" w:type="dxa"/>
            </w:tcMar>
            <w:vAlign w:val="center"/>
          </w:tcPr>
          <w:p w:rsidR="0048332A" w:rsidRDefault="0048332A">
            <w:pPr>
              <w:pStyle w:val="TAL"/>
              <w:snapToGrid w:val="0"/>
              <w:rPr>
                <w:rFonts w:ascii="Times New Roman" w:hAnsi="Times New Roman"/>
                <w:sz w:val="20"/>
              </w:rPr>
            </w:pPr>
          </w:p>
        </w:tc>
      </w:tr>
      <w:tr w:rsidR="0048332A">
        <w:trPr>
          <w:trHeight w:val="20"/>
          <w:jc w:val="center"/>
        </w:trPr>
        <w:tc>
          <w:tcPr>
            <w:tcW w:w="1359"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UL transmission</w:t>
            </w:r>
          </w:p>
        </w:tc>
        <w:tc>
          <w:tcPr>
            <w:tcW w:w="4250" w:type="dxa"/>
            <w:shd w:val="clear" w:color="auto" w:fill="auto"/>
            <w:tcMar>
              <w:top w:w="54" w:type="dxa"/>
              <w:left w:w="108" w:type="dxa"/>
              <w:bottom w:w="54" w:type="dxa"/>
              <w:right w:w="108" w:type="dxa"/>
            </w:tcMar>
          </w:tcPr>
          <w:p w:rsidR="0048332A" w:rsidRDefault="008337A7">
            <w:pPr>
              <w:pStyle w:val="TAL"/>
              <w:keepNext w:val="0"/>
              <w:keepLines w:val="0"/>
              <w:widowControl w:val="0"/>
              <w:snapToGrid w:val="0"/>
              <w:spacing w:line="20" w:lineRule="atLeast"/>
              <w:rPr>
                <w:rFonts w:ascii="Times New Roman" w:hAnsi="Times New Roman"/>
                <w:sz w:val="20"/>
              </w:rPr>
            </w:pPr>
            <w:r>
              <w:rPr>
                <w:rFonts w:ascii="Times New Roman" w:hAnsi="Times New Roman"/>
                <w:sz w:val="20"/>
              </w:rPr>
              <w:t xml:space="preserve">There is only UL transmission </w:t>
            </w:r>
          </w:p>
        </w:tc>
        <w:tc>
          <w:tcPr>
            <w:tcW w:w="1228" w:type="dxa"/>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c>
          <w:tcPr>
            <w:tcW w:w="2780" w:type="dxa"/>
            <w:gridSpan w:val="2"/>
            <w:vMerge/>
            <w:shd w:val="clear" w:color="auto" w:fill="auto"/>
            <w:tcMar>
              <w:top w:w="54" w:type="dxa"/>
              <w:left w:w="108" w:type="dxa"/>
              <w:bottom w:w="54" w:type="dxa"/>
              <w:right w:w="108" w:type="dxa"/>
            </w:tcMar>
          </w:tcPr>
          <w:p w:rsidR="0048332A" w:rsidRDefault="0048332A">
            <w:pPr>
              <w:pStyle w:val="TAL"/>
              <w:snapToGrid w:val="0"/>
              <w:rPr>
                <w:rFonts w:ascii="Times New Roman" w:hAnsi="Times New Roman"/>
                <w:sz w:val="20"/>
              </w:rPr>
            </w:pPr>
          </w:p>
        </w:tc>
      </w:tr>
    </w:tbl>
    <w:p w:rsidR="0048332A" w:rsidRDefault="0048332A">
      <w:pPr>
        <w:pStyle w:val="TH"/>
        <w:spacing w:before="120" w:after="120"/>
        <w:rPr>
          <w:rFonts w:ascii="Times New Roman" w:hAnsi="Times New Roman"/>
        </w:rPr>
      </w:pPr>
    </w:p>
    <w:p w:rsidR="0048332A" w:rsidRDefault="008337A7">
      <w:pPr>
        <w:numPr>
          <w:ilvl w:val="0"/>
          <w:numId w:val="12"/>
        </w:numPr>
        <w:spacing w:beforeLines="50" w:before="120" w:afterLines="50" w:after="120" w:line="259" w:lineRule="auto"/>
        <w:jc w:val="both"/>
        <w:rPr>
          <w:b/>
          <w:bCs/>
        </w:rPr>
      </w:pPr>
      <w:r>
        <w:rPr>
          <w:rFonts w:hint="eastAsia"/>
          <w:b/>
          <w:bCs/>
        </w:rPr>
        <w:t>Scaling factor</w:t>
      </w:r>
    </w:p>
    <w:p w:rsidR="0048332A" w:rsidRDefault="008337A7">
      <w:pPr>
        <w:numPr>
          <w:ilvl w:val="255"/>
          <w:numId w:val="0"/>
        </w:numPr>
        <w:snapToGrid w:val="0"/>
        <w:spacing w:beforeLines="50" w:before="120" w:afterLines="50" w:after="120"/>
        <w:jc w:val="both"/>
        <w:rPr>
          <w:kern w:val="2"/>
          <w:sz w:val="21"/>
          <w:szCs w:val="20"/>
        </w:rPr>
      </w:pPr>
      <w:r>
        <w:rPr>
          <w:rFonts w:hint="eastAsia"/>
          <w:kern w:val="2"/>
          <w:sz w:val="21"/>
          <w:szCs w:val="20"/>
        </w:rPr>
        <w:t>The UE power consumption also varies with different configurations in spatial, frequency, time and power domains. Therefore, the power consumption needs to be scaled accordingly.</w:t>
      </w:r>
    </w:p>
    <w:p w:rsidR="0048332A" w:rsidRDefault="008337A7">
      <w:pPr>
        <w:numPr>
          <w:ilvl w:val="255"/>
          <w:numId w:val="0"/>
        </w:numPr>
        <w:snapToGrid w:val="0"/>
        <w:spacing w:beforeLines="50" w:before="120" w:afterLines="50" w:after="120"/>
        <w:contextualSpacing/>
        <w:jc w:val="both"/>
        <w:rPr>
          <w:b/>
          <w:bCs/>
          <w:kern w:val="2"/>
          <w:sz w:val="21"/>
          <w:szCs w:val="24"/>
          <w:u w:val="single"/>
        </w:rPr>
      </w:pPr>
      <w:r>
        <w:rPr>
          <w:b/>
          <w:bCs/>
          <w:kern w:val="2"/>
          <w:sz w:val="21"/>
          <w:szCs w:val="24"/>
          <w:u w:val="single"/>
        </w:rPr>
        <w:t>Antenna/bandwidth/</w:t>
      </w:r>
      <w:r>
        <w:rPr>
          <w:rFonts w:hint="eastAsia"/>
          <w:b/>
          <w:bCs/>
          <w:kern w:val="2"/>
          <w:sz w:val="21"/>
          <w:szCs w:val="24"/>
          <w:u w:val="single"/>
        </w:rPr>
        <w:t>CA/</w:t>
      </w:r>
      <w:r>
        <w:rPr>
          <w:b/>
          <w:bCs/>
          <w:kern w:val="2"/>
          <w:sz w:val="21"/>
          <w:szCs w:val="24"/>
          <w:u w:val="single"/>
        </w:rPr>
        <w:t>time domain scaling for downlink power states:</w:t>
      </w:r>
    </w:p>
    <w:p w:rsidR="0048332A" w:rsidRDefault="008337A7">
      <w:pPr>
        <w:snapToGrid w:val="0"/>
        <w:spacing w:beforeLines="50" w:before="120" w:afterLines="50" w:after="120"/>
        <w:jc w:val="both"/>
        <w:rPr>
          <w:kern w:val="2"/>
          <w:sz w:val="21"/>
          <w:szCs w:val="20"/>
        </w:rPr>
      </w:pPr>
      <w:r>
        <w:rPr>
          <w:rFonts w:hint="eastAsia"/>
          <w:kern w:val="2"/>
          <w:sz w:val="21"/>
          <w:szCs w:val="20"/>
        </w:rPr>
        <w:t>In TR 38.840, all adaptive parameters are discussed individually in Table 21. However, when multiple parameters change in relative to the reference configuration, additional rule is needed, for example, multiplying these different scaling factors. However, this approach is often inaccurate and can result in power values that are unrealistically low, even lower than the micro-sleep state.</w:t>
      </w:r>
    </w:p>
    <w:p w:rsidR="0048332A" w:rsidRDefault="008337A7">
      <w:pPr>
        <w:snapToGrid w:val="0"/>
        <w:spacing w:beforeLines="50" w:before="120" w:afterLines="50" w:after="120"/>
        <w:jc w:val="both"/>
        <w:rPr>
          <w:kern w:val="2"/>
          <w:sz w:val="21"/>
          <w:szCs w:val="20"/>
        </w:rPr>
      </w:pPr>
      <w:r>
        <w:rPr>
          <w:rFonts w:hint="eastAsia"/>
          <w:kern w:val="2"/>
          <w:sz w:val="21"/>
          <w:szCs w:val="20"/>
        </w:rPr>
        <w:t>To address this issue, we propose adopting a unified formula that accounts for all potential adaptive factors, similar to the BS power consumption model outlined in TR 38.864. For downlink power states, the power can be calculated as follows:</w:t>
      </w:r>
    </w:p>
    <w:p w:rsidR="0048332A" w:rsidRDefault="008337A7">
      <w:pPr>
        <w:snapToGrid w:val="0"/>
        <w:spacing w:beforeLines="50" w:before="120" w:afterLines="50" w:after="120"/>
        <w:jc w:val="center"/>
        <w:rPr>
          <w:kern w:val="2"/>
          <w:sz w:val="21"/>
          <w:szCs w:val="20"/>
        </w:rPr>
      </w:pPr>
      <w:r>
        <w:rPr>
          <w:kern w:val="2"/>
          <w:sz w:val="21"/>
          <w:szCs w:val="20"/>
        </w:rPr>
        <w:lastRenderedPageBreak/>
        <w:t>P(</w:t>
      </w:r>
      <w:proofErr w:type="spellStart"/>
      <w:proofErr w:type="gramStart"/>
      <w:r>
        <w:rPr>
          <w:kern w:val="2"/>
          <w:sz w:val="21"/>
          <w:szCs w:val="20"/>
        </w:rPr>
        <w:t>a,b</w:t>
      </w:r>
      <w:proofErr w:type="gramEnd"/>
      <w:r>
        <w:rPr>
          <w:kern w:val="2"/>
          <w:sz w:val="21"/>
          <w:szCs w:val="20"/>
        </w:rPr>
        <w:t>,c</w:t>
      </w:r>
      <w:proofErr w:type="spellEnd"/>
      <w:r>
        <w:rPr>
          <w:kern w:val="2"/>
          <w:sz w:val="21"/>
          <w:szCs w:val="20"/>
        </w:rPr>
        <w:t xml:space="preserve">) = </w:t>
      </w:r>
      <w:proofErr w:type="spellStart"/>
      <w:r>
        <w:rPr>
          <w:rFonts w:hint="eastAsia"/>
          <w:kern w:val="2"/>
          <w:sz w:val="21"/>
          <w:szCs w:val="20"/>
        </w:rPr>
        <w:t>P</w:t>
      </w:r>
      <w:r>
        <w:rPr>
          <w:kern w:val="2"/>
          <w:sz w:val="21"/>
          <w:szCs w:val="20"/>
          <w:vertAlign w:val="subscript"/>
        </w:rPr>
        <w:t>micro</w:t>
      </w:r>
      <w:proofErr w:type="spellEnd"/>
      <w:r>
        <w:rPr>
          <w:kern w:val="2"/>
          <w:sz w:val="21"/>
          <w:szCs w:val="20"/>
          <w:vertAlign w:val="subscript"/>
        </w:rPr>
        <w:t>-sleep</w:t>
      </w:r>
      <w:r>
        <w:rPr>
          <w:kern w:val="2"/>
          <w:sz w:val="21"/>
          <w:szCs w:val="20"/>
        </w:rPr>
        <w:t xml:space="preserve"> + (P</w:t>
      </w:r>
      <w:r>
        <w:rPr>
          <w:kern w:val="2"/>
          <w:sz w:val="21"/>
          <w:szCs w:val="20"/>
          <w:vertAlign w:val="subscript"/>
        </w:rPr>
        <w:t>t</w:t>
      </w:r>
      <w:r>
        <w:rPr>
          <w:kern w:val="2"/>
          <w:sz w:val="21"/>
          <w:szCs w:val="20"/>
        </w:rPr>
        <w:t xml:space="preserve"> – </w:t>
      </w:r>
      <w:proofErr w:type="spellStart"/>
      <w:r>
        <w:rPr>
          <w:rFonts w:hint="eastAsia"/>
          <w:kern w:val="2"/>
          <w:sz w:val="21"/>
          <w:szCs w:val="20"/>
        </w:rPr>
        <w:t>P</w:t>
      </w:r>
      <w:r>
        <w:rPr>
          <w:kern w:val="2"/>
          <w:sz w:val="21"/>
          <w:szCs w:val="20"/>
          <w:vertAlign w:val="subscript"/>
        </w:rPr>
        <w:t>micro</w:t>
      </w:r>
      <w:proofErr w:type="spellEnd"/>
      <w:r>
        <w:rPr>
          <w:kern w:val="2"/>
          <w:sz w:val="21"/>
          <w:szCs w:val="20"/>
          <w:vertAlign w:val="subscript"/>
        </w:rPr>
        <w:t>-sleep</w:t>
      </w:r>
      <w:r>
        <w:rPr>
          <w:kern w:val="2"/>
          <w:sz w:val="21"/>
          <w:szCs w:val="20"/>
        </w:rPr>
        <w:t>)*a*b*t</w:t>
      </w:r>
    </w:p>
    <w:p w:rsidR="0048332A" w:rsidRDefault="008337A7">
      <w:pPr>
        <w:snapToGrid w:val="0"/>
        <w:spacing w:beforeLines="50" w:before="120" w:afterLines="50" w:after="120"/>
        <w:jc w:val="both"/>
        <w:rPr>
          <w:kern w:val="2"/>
          <w:sz w:val="21"/>
          <w:szCs w:val="20"/>
        </w:rPr>
      </w:pPr>
      <w:r>
        <w:rPr>
          <w:rFonts w:hint="eastAsia"/>
          <w:kern w:val="2"/>
          <w:sz w:val="21"/>
          <w:szCs w:val="20"/>
        </w:rPr>
        <w:t>Wherein,</w:t>
      </w:r>
    </w:p>
    <w:p w:rsidR="0048332A" w:rsidRDefault="008337A7">
      <w:pPr>
        <w:snapToGrid w:val="0"/>
        <w:spacing w:beforeLines="50" w:before="120" w:afterLines="50" w:after="120"/>
        <w:jc w:val="both"/>
        <w:rPr>
          <w:kern w:val="2"/>
          <w:sz w:val="21"/>
          <w:szCs w:val="20"/>
        </w:rPr>
      </w:pPr>
      <w:r>
        <w:rPr>
          <w:kern w:val="2"/>
          <w:sz w:val="21"/>
          <w:szCs w:val="20"/>
        </w:rPr>
        <w:t>P(</w:t>
      </w:r>
      <w:proofErr w:type="spellStart"/>
      <w:proofErr w:type="gramStart"/>
      <w:r>
        <w:rPr>
          <w:kern w:val="2"/>
          <w:sz w:val="21"/>
          <w:szCs w:val="20"/>
        </w:rPr>
        <w:t>a,b</w:t>
      </w:r>
      <w:proofErr w:type="gramEnd"/>
      <w:r>
        <w:rPr>
          <w:kern w:val="2"/>
          <w:sz w:val="21"/>
          <w:szCs w:val="20"/>
        </w:rPr>
        <w:t>,t</w:t>
      </w:r>
      <w:proofErr w:type="spellEnd"/>
      <w:r>
        <w:rPr>
          <w:kern w:val="2"/>
          <w:sz w:val="21"/>
          <w:szCs w:val="20"/>
        </w:rPr>
        <w:t xml:space="preserve">) is </w:t>
      </w:r>
      <w:r>
        <w:rPr>
          <w:rFonts w:hint="eastAsia"/>
          <w:kern w:val="2"/>
          <w:sz w:val="21"/>
          <w:szCs w:val="20"/>
        </w:rPr>
        <w:t>r</w:t>
      </w:r>
      <w:r>
        <w:rPr>
          <w:kern w:val="2"/>
          <w:sz w:val="21"/>
          <w:szCs w:val="20"/>
        </w:rPr>
        <w:t>elative power of PDSCH or reference signal</w:t>
      </w:r>
      <w:r>
        <w:rPr>
          <w:rFonts w:hint="eastAsia"/>
          <w:kern w:val="2"/>
          <w:sz w:val="21"/>
          <w:szCs w:val="20"/>
        </w:rPr>
        <w:t xml:space="preserve"> reception </w:t>
      </w:r>
      <w:r>
        <w:rPr>
          <w:kern w:val="2"/>
          <w:sz w:val="21"/>
          <w:szCs w:val="20"/>
        </w:rPr>
        <w:t>with scaling.</w:t>
      </w:r>
    </w:p>
    <w:p w:rsidR="0048332A" w:rsidRDefault="008337A7">
      <w:pPr>
        <w:snapToGrid w:val="0"/>
        <w:spacing w:beforeLines="50" w:before="120" w:afterLines="50" w:after="120"/>
        <w:jc w:val="both"/>
        <w:rPr>
          <w:kern w:val="2"/>
          <w:sz w:val="21"/>
          <w:szCs w:val="20"/>
        </w:rPr>
      </w:pPr>
      <w:r>
        <w:rPr>
          <w:kern w:val="2"/>
          <w:sz w:val="21"/>
          <w:szCs w:val="20"/>
        </w:rPr>
        <w:t>P</w:t>
      </w:r>
      <w:r>
        <w:rPr>
          <w:kern w:val="2"/>
          <w:sz w:val="21"/>
          <w:szCs w:val="20"/>
          <w:vertAlign w:val="subscript"/>
        </w:rPr>
        <w:t>t</w:t>
      </w:r>
      <w:r>
        <w:rPr>
          <w:kern w:val="2"/>
          <w:sz w:val="21"/>
          <w:szCs w:val="20"/>
        </w:rPr>
        <w:t xml:space="preserve"> is relative power of PDSCH or reference </w:t>
      </w:r>
      <w:r>
        <w:rPr>
          <w:rFonts w:hint="eastAsia"/>
          <w:kern w:val="2"/>
          <w:sz w:val="21"/>
          <w:szCs w:val="20"/>
        </w:rPr>
        <w:t>signal reception</w:t>
      </w:r>
      <w:r>
        <w:rPr>
          <w:kern w:val="2"/>
          <w:sz w:val="21"/>
          <w:szCs w:val="20"/>
        </w:rPr>
        <w:t xml:space="preserve"> </w:t>
      </w:r>
      <w:r>
        <w:rPr>
          <w:rFonts w:hint="eastAsia"/>
          <w:kern w:val="2"/>
          <w:sz w:val="21"/>
          <w:szCs w:val="20"/>
        </w:rPr>
        <w:t xml:space="preserve">under the </w:t>
      </w:r>
      <w:r>
        <w:rPr>
          <w:kern w:val="2"/>
          <w:sz w:val="21"/>
          <w:szCs w:val="20"/>
        </w:rPr>
        <w:t>reference configuration,</w:t>
      </w:r>
    </w:p>
    <w:p w:rsidR="0048332A" w:rsidRDefault="008337A7">
      <w:pPr>
        <w:snapToGrid w:val="0"/>
        <w:spacing w:beforeLines="50" w:before="120" w:afterLines="50" w:after="120"/>
        <w:rPr>
          <w:kern w:val="2"/>
          <w:sz w:val="21"/>
          <w:szCs w:val="20"/>
        </w:rPr>
      </w:pPr>
      <w:r>
        <w:rPr>
          <w:rFonts w:hint="eastAsia"/>
          <w:kern w:val="2"/>
          <w:sz w:val="21"/>
          <w:szCs w:val="20"/>
        </w:rPr>
        <w:t xml:space="preserve">a is </w:t>
      </w:r>
      <w:r>
        <w:rPr>
          <w:kern w:val="2"/>
          <w:sz w:val="21"/>
          <w:szCs w:val="20"/>
        </w:rPr>
        <w:t>UE antenna scaling factor</w:t>
      </w:r>
      <w:r>
        <w:rPr>
          <w:rFonts w:hint="eastAsia"/>
          <w:kern w:val="2"/>
          <w:sz w:val="21"/>
          <w:szCs w:val="20"/>
        </w:rPr>
        <w:t xml:space="preserve">, calculated as </w:t>
      </w:r>
      <w:r>
        <w:rPr>
          <w:kern w:val="2"/>
          <w:sz w:val="21"/>
          <w:szCs w:val="20"/>
        </w:rPr>
        <w:t xml:space="preserve">a = </w:t>
      </w:r>
      <w:proofErr w:type="spellStart"/>
      <w:r>
        <w:rPr>
          <w:kern w:val="2"/>
          <w:sz w:val="21"/>
          <w:szCs w:val="20"/>
        </w:rPr>
        <w:t>A_use</w:t>
      </w:r>
      <w:proofErr w:type="spellEnd"/>
      <w:r>
        <w:rPr>
          <w:kern w:val="2"/>
          <w:sz w:val="21"/>
          <w:szCs w:val="20"/>
        </w:rPr>
        <w:t>/</w:t>
      </w:r>
      <w:proofErr w:type="spellStart"/>
      <w:r>
        <w:rPr>
          <w:kern w:val="2"/>
          <w:sz w:val="21"/>
          <w:szCs w:val="20"/>
        </w:rPr>
        <w:t>A_ref</w:t>
      </w:r>
      <w:proofErr w:type="spellEnd"/>
      <w:r>
        <w:rPr>
          <w:kern w:val="2"/>
          <w:sz w:val="21"/>
          <w:szCs w:val="20"/>
        </w:rPr>
        <w:t>,</w:t>
      </w:r>
      <w:r>
        <w:rPr>
          <w:rFonts w:hint="eastAsia"/>
          <w:kern w:val="2"/>
          <w:sz w:val="21"/>
          <w:szCs w:val="20"/>
        </w:rPr>
        <w:t xml:space="preserve"> </w:t>
      </w:r>
      <w:r>
        <w:rPr>
          <w:kern w:val="2"/>
          <w:sz w:val="21"/>
          <w:szCs w:val="20"/>
        </w:rPr>
        <w:t xml:space="preserve">wherein, </w:t>
      </w:r>
    </w:p>
    <w:p w:rsidR="0048332A" w:rsidRDefault="008337A7">
      <w:pPr>
        <w:snapToGrid w:val="0"/>
        <w:spacing w:beforeLines="50" w:before="120" w:afterLines="50" w:after="120"/>
        <w:ind w:leftChars="100" w:left="220"/>
        <w:rPr>
          <w:kern w:val="2"/>
          <w:sz w:val="21"/>
          <w:szCs w:val="20"/>
        </w:rPr>
      </w:pPr>
      <w:proofErr w:type="spellStart"/>
      <w:r>
        <w:rPr>
          <w:kern w:val="2"/>
          <w:sz w:val="21"/>
          <w:szCs w:val="20"/>
        </w:rPr>
        <w:t>A_use</w:t>
      </w:r>
      <w:proofErr w:type="spellEnd"/>
      <w:r>
        <w:rPr>
          <w:kern w:val="2"/>
          <w:sz w:val="21"/>
          <w:szCs w:val="20"/>
        </w:rPr>
        <w:t xml:space="preserve"> is the number of UE antenna used in a slot, </w:t>
      </w:r>
    </w:p>
    <w:p w:rsidR="0048332A" w:rsidRDefault="008337A7">
      <w:pPr>
        <w:snapToGrid w:val="0"/>
        <w:spacing w:beforeLines="50" w:before="120" w:afterLines="50" w:after="120"/>
        <w:ind w:leftChars="100" w:left="220"/>
        <w:rPr>
          <w:kern w:val="2"/>
          <w:sz w:val="21"/>
          <w:szCs w:val="20"/>
        </w:rPr>
      </w:pPr>
      <w:proofErr w:type="spellStart"/>
      <w:r>
        <w:rPr>
          <w:kern w:val="2"/>
          <w:sz w:val="21"/>
          <w:szCs w:val="20"/>
        </w:rPr>
        <w:t>A_ref</w:t>
      </w:r>
      <w:proofErr w:type="spellEnd"/>
      <w:r>
        <w:rPr>
          <w:kern w:val="2"/>
          <w:sz w:val="21"/>
          <w:szCs w:val="20"/>
        </w:rPr>
        <w:t xml:space="preserve"> is the number of UE antenna in reference configuration.</w:t>
      </w:r>
    </w:p>
    <w:p w:rsidR="0048332A" w:rsidRDefault="008337A7">
      <w:pPr>
        <w:snapToGrid w:val="0"/>
        <w:spacing w:beforeLines="50" w:before="120" w:afterLines="50" w:after="120"/>
        <w:rPr>
          <w:kern w:val="2"/>
          <w:sz w:val="21"/>
          <w:szCs w:val="20"/>
        </w:rPr>
      </w:pPr>
      <w:r>
        <w:rPr>
          <w:rFonts w:hint="eastAsia"/>
          <w:kern w:val="2"/>
          <w:sz w:val="21"/>
          <w:szCs w:val="20"/>
        </w:rPr>
        <w:t>b is s</w:t>
      </w:r>
      <w:r>
        <w:rPr>
          <w:kern w:val="2"/>
          <w:sz w:val="21"/>
          <w:szCs w:val="20"/>
        </w:rPr>
        <w:t xml:space="preserve">ystem </w:t>
      </w:r>
      <w:r>
        <w:rPr>
          <w:rFonts w:hint="eastAsia"/>
          <w:kern w:val="2"/>
          <w:sz w:val="21"/>
          <w:szCs w:val="20"/>
        </w:rPr>
        <w:t>b</w:t>
      </w:r>
      <w:r>
        <w:rPr>
          <w:kern w:val="2"/>
          <w:sz w:val="21"/>
          <w:szCs w:val="20"/>
        </w:rPr>
        <w:t>andwidth scaling factor</w:t>
      </w:r>
      <w:r>
        <w:rPr>
          <w:rFonts w:hint="eastAsia"/>
          <w:kern w:val="2"/>
          <w:sz w:val="21"/>
          <w:szCs w:val="20"/>
        </w:rPr>
        <w:t xml:space="preserve">, calculated as </w:t>
      </w:r>
      <w:r>
        <w:rPr>
          <w:kern w:val="2"/>
          <w:sz w:val="21"/>
          <w:szCs w:val="20"/>
        </w:rPr>
        <w:t xml:space="preserve">b = </w:t>
      </w:r>
      <w:proofErr w:type="spellStart"/>
      <w:r>
        <w:rPr>
          <w:kern w:val="2"/>
          <w:sz w:val="21"/>
          <w:szCs w:val="20"/>
        </w:rPr>
        <w:t>B_use</w:t>
      </w:r>
      <w:proofErr w:type="spellEnd"/>
      <w:r>
        <w:rPr>
          <w:kern w:val="2"/>
          <w:sz w:val="21"/>
          <w:szCs w:val="20"/>
        </w:rPr>
        <w:t>/</w:t>
      </w:r>
      <w:proofErr w:type="spellStart"/>
      <w:r>
        <w:rPr>
          <w:kern w:val="2"/>
          <w:sz w:val="21"/>
          <w:szCs w:val="20"/>
        </w:rPr>
        <w:t>B_ref</w:t>
      </w:r>
      <w:proofErr w:type="spellEnd"/>
      <w:r>
        <w:rPr>
          <w:kern w:val="2"/>
          <w:sz w:val="21"/>
          <w:szCs w:val="20"/>
        </w:rPr>
        <w:t>,</w:t>
      </w:r>
      <w:r>
        <w:rPr>
          <w:rFonts w:hint="eastAsia"/>
          <w:kern w:val="2"/>
          <w:sz w:val="21"/>
          <w:szCs w:val="20"/>
        </w:rPr>
        <w:t xml:space="preserve"> w</w:t>
      </w:r>
      <w:r>
        <w:rPr>
          <w:kern w:val="2"/>
          <w:sz w:val="21"/>
          <w:szCs w:val="20"/>
        </w:rPr>
        <w:t>herein</w:t>
      </w:r>
    </w:p>
    <w:p w:rsidR="0048332A" w:rsidRDefault="008337A7">
      <w:pPr>
        <w:snapToGrid w:val="0"/>
        <w:spacing w:beforeLines="50" w:before="120" w:afterLines="50" w:after="120"/>
        <w:ind w:leftChars="100" w:left="220"/>
        <w:rPr>
          <w:kern w:val="2"/>
          <w:sz w:val="21"/>
          <w:szCs w:val="20"/>
        </w:rPr>
      </w:pPr>
      <w:proofErr w:type="spellStart"/>
      <w:r>
        <w:rPr>
          <w:kern w:val="2"/>
          <w:sz w:val="21"/>
          <w:szCs w:val="20"/>
        </w:rPr>
        <w:t>B_use</w:t>
      </w:r>
      <w:proofErr w:type="spellEnd"/>
      <w:r>
        <w:rPr>
          <w:kern w:val="2"/>
          <w:sz w:val="21"/>
          <w:szCs w:val="20"/>
        </w:rPr>
        <w:t xml:space="preserve"> is the </w:t>
      </w:r>
      <w:r>
        <w:rPr>
          <w:rFonts w:hint="eastAsia"/>
          <w:kern w:val="2"/>
          <w:sz w:val="21"/>
          <w:szCs w:val="20"/>
        </w:rPr>
        <w:t xml:space="preserve">reception </w:t>
      </w:r>
      <w:r>
        <w:rPr>
          <w:kern w:val="2"/>
          <w:sz w:val="21"/>
          <w:szCs w:val="20"/>
        </w:rPr>
        <w:t xml:space="preserve">bandwidth in one slot, </w:t>
      </w:r>
    </w:p>
    <w:p w:rsidR="0048332A" w:rsidRDefault="008337A7">
      <w:pPr>
        <w:snapToGrid w:val="0"/>
        <w:spacing w:beforeLines="50" w:before="120" w:afterLines="50" w:after="120"/>
        <w:ind w:leftChars="100" w:left="220"/>
        <w:rPr>
          <w:kern w:val="2"/>
          <w:sz w:val="21"/>
          <w:szCs w:val="20"/>
        </w:rPr>
      </w:pPr>
      <w:proofErr w:type="spellStart"/>
      <w:r>
        <w:rPr>
          <w:kern w:val="2"/>
          <w:sz w:val="21"/>
          <w:szCs w:val="20"/>
        </w:rPr>
        <w:t>B_ref</w:t>
      </w:r>
      <w:proofErr w:type="spellEnd"/>
      <w:r>
        <w:rPr>
          <w:kern w:val="2"/>
          <w:sz w:val="21"/>
          <w:szCs w:val="20"/>
        </w:rPr>
        <w:t xml:space="preserve"> is the system bandwidth in reference configuration.</w:t>
      </w:r>
    </w:p>
    <w:p w:rsidR="0048332A" w:rsidRDefault="008337A7">
      <w:pPr>
        <w:snapToGrid w:val="0"/>
        <w:spacing w:beforeLines="50" w:before="120" w:afterLines="50" w:after="120"/>
        <w:rPr>
          <w:kern w:val="2"/>
          <w:sz w:val="21"/>
          <w:szCs w:val="20"/>
        </w:rPr>
      </w:pPr>
      <w:proofErr w:type="spellStart"/>
      <w:r>
        <w:rPr>
          <w:rFonts w:hint="eastAsia"/>
          <w:kern w:val="2"/>
          <w:sz w:val="21"/>
          <w:szCs w:val="20"/>
        </w:rPr>
        <w:t>t</w:t>
      </w:r>
      <w:proofErr w:type="spellEnd"/>
      <w:r>
        <w:rPr>
          <w:rFonts w:hint="eastAsia"/>
          <w:kern w:val="2"/>
          <w:sz w:val="21"/>
          <w:szCs w:val="20"/>
        </w:rPr>
        <w:t xml:space="preserve"> is t</w:t>
      </w:r>
      <w:r>
        <w:rPr>
          <w:kern w:val="2"/>
          <w:sz w:val="21"/>
          <w:szCs w:val="20"/>
        </w:rPr>
        <w:t>ime domain scaling factor</w:t>
      </w:r>
      <w:r>
        <w:rPr>
          <w:rFonts w:hint="eastAsia"/>
          <w:kern w:val="2"/>
          <w:sz w:val="21"/>
          <w:szCs w:val="20"/>
        </w:rPr>
        <w:t xml:space="preserve">, calculated as </w:t>
      </w:r>
      <w:r>
        <w:rPr>
          <w:kern w:val="2"/>
          <w:sz w:val="21"/>
          <w:szCs w:val="20"/>
        </w:rPr>
        <w:t xml:space="preserve">t = </w:t>
      </w:r>
      <w:proofErr w:type="spellStart"/>
      <w:r>
        <w:rPr>
          <w:kern w:val="2"/>
          <w:sz w:val="21"/>
          <w:szCs w:val="20"/>
        </w:rPr>
        <w:t>T_use</w:t>
      </w:r>
      <w:proofErr w:type="spellEnd"/>
      <w:r>
        <w:rPr>
          <w:kern w:val="2"/>
          <w:sz w:val="21"/>
          <w:szCs w:val="20"/>
        </w:rPr>
        <w:t>/</w:t>
      </w:r>
      <w:proofErr w:type="spellStart"/>
      <w:r>
        <w:rPr>
          <w:kern w:val="2"/>
          <w:sz w:val="21"/>
          <w:szCs w:val="20"/>
        </w:rPr>
        <w:t>T_ref</w:t>
      </w:r>
      <w:proofErr w:type="spellEnd"/>
      <w:r>
        <w:rPr>
          <w:kern w:val="2"/>
          <w:sz w:val="21"/>
          <w:szCs w:val="20"/>
        </w:rPr>
        <w:t>,</w:t>
      </w:r>
      <w:r>
        <w:rPr>
          <w:rFonts w:hint="eastAsia"/>
          <w:kern w:val="2"/>
          <w:sz w:val="21"/>
          <w:szCs w:val="20"/>
        </w:rPr>
        <w:t xml:space="preserve"> </w:t>
      </w:r>
      <w:r>
        <w:rPr>
          <w:kern w:val="2"/>
          <w:sz w:val="21"/>
          <w:szCs w:val="20"/>
        </w:rPr>
        <w:t xml:space="preserve">wherein, </w:t>
      </w:r>
    </w:p>
    <w:p w:rsidR="0048332A" w:rsidRDefault="008337A7">
      <w:pPr>
        <w:snapToGrid w:val="0"/>
        <w:spacing w:beforeLines="50" w:before="120" w:afterLines="50" w:after="120"/>
        <w:ind w:leftChars="100" w:left="220"/>
        <w:rPr>
          <w:kern w:val="2"/>
          <w:sz w:val="21"/>
          <w:szCs w:val="20"/>
        </w:rPr>
      </w:pPr>
      <w:proofErr w:type="spellStart"/>
      <w:r>
        <w:rPr>
          <w:kern w:val="2"/>
          <w:sz w:val="21"/>
          <w:szCs w:val="20"/>
        </w:rPr>
        <w:t>T_use</w:t>
      </w:r>
      <w:proofErr w:type="spellEnd"/>
      <w:r>
        <w:rPr>
          <w:kern w:val="2"/>
          <w:sz w:val="21"/>
          <w:szCs w:val="20"/>
        </w:rPr>
        <w:t xml:space="preserve"> is the occupied time domain resource of a power state in one slot, </w:t>
      </w:r>
    </w:p>
    <w:p w:rsidR="0048332A" w:rsidRDefault="008337A7">
      <w:pPr>
        <w:pStyle w:val="ListParagraph"/>
        <w:numPr>
          <w:ilvl w:val="255"/>
          <w:numId w:val="0"/>
        </w:numPr>
        <w:snapToGrid w:val="0"/>
        <w:spacing w:beforeLines="50" w:before="120" w:afterLines="50" w:after="120"/>
        <w:ind w:firstLineChars="100" w:firstLine="210"/>
        <w:rPr>
          <w:rFonts w:ascii="Times New Roman" w:hAnsi="Times New Roman"/>
          <w:kern w:val="2"/>
          <w:sz w:val="21"/>
          <w:szCs w:val="20"/>
        </w:rPr>
      </w:pPr>
      <w:proofErr w:type="spellStart"/>
      <w:r>
        <w:rPr>
          <w:rFonts w:ascii="Times New Roman" w:hAnsi="Times New Roman"/>
          <w:kern w:val="2"/>
          <w:sz w:val="21"/>
          <w:szCs w:val="20"/>
        </w:rPr>
        <w:t>T_ref</w:t>
      </w:r>
      <w:proofErr w:type="spellEnd"/>
      <w:r>
        <w:rPr>
          <w:rFonts w:ascii="Times New Roman" w:hAnsi="Times New Roman"/>
          <w:kern w:val="2"/>
          <w:sz w:val="21"/>
          <w:szCs w:val="20"/>
        </w:rPr>
        <w:t xml:space="preserve"> is the occupied time domain resource in reference configuration.</w:t>
      </w:r>
    </w:p>
    <w:p w:rsidR="0048332A" w:rsidRDefault="008337A7">
      <w:pPr>
        <w:pStyle w:val="ListParagraph"/>
        <w:numPr>
          <w:ilvl w:val="255"/>
          <w:numId w:val="0"/>
        </w:numPr>
        <w:snapToGrid w:val="0"/>
        <w:spacing w:beforeLines="50" w:before="120" w:afterLines="50" w:after="120"/>
        <w:rPr>
          <w:rFonts w:ascii="Times New Roman" w:hAnsi="Times New Roman"/>
          <w:kern w:val="2"/>
          <w:sz w:val="21"/>
          <w:szCs w:val="20"/>
        </w:rPr>
      </w:pPr>
      <w:r>
        <w:rPr>
          <w:rFonts w:ascii="Times New Roman" w:hAnsi="Times New Roman"/>
          <w:b/>
          <w:i/>
          <w:szCs w:val="20"/>
        </w:rPr>
        <w:t>Proposal 3-1-</w:t>
      </w:r>
      <w:r>
        <w:rPr>
          <w:rFonts w:ascii="Times New Roman" w:eastAsia="宋体" w:hAnsi="Times New Roman"/>
          <w:b/>
          <w:i/>
          <w:szCs w:val="20"/>
          <w:lang w:val="en-US"/>
        </w:rPr>
        <w:t>7</w:t>
      </w:r>
      <w:r>
        <w:rPr>
          <w:rFonts w:ascii="Times New Roman" w:hAnsi="Times New Roman"/>
          <w:b/>
          <w:i/>
          <w:szCs w:val="20"/>
        </w:rPr>
        <w:t>:</w:t>
      </w:r>
      <w:r>
        <w:rPr>
          <w:rFonts w:ascii="Times New Roman" w:hAnsi="Times New Roman"/>
          <w:i/>
          <w:szCs w:val="20"/>
        </w:rPr>
        <w:t xml:space="preserve"> </w:t>
      </w:r>
      <w:r>
        <w:rPr>
          <w:rFonts w:ascii="Times New Roman" w:hAnsi="Times New Roman"/>
          <w:i/>
          <w:iCs/>
          <w:lang w:val="en-US"/>
        </w:rPr>
        <w:t>For downlink power states other than sleep state, the power is determined according to:</w:t>
      </w:r>
    </w:p>
    <w:p w:rsidR="0048332A" w:rsidRDefault="008337A7">
      <w:pPr>
        <w:pStyle w:val="YJ-Proposal"/>
        <w:numPr>
          <w:ilvl w:val="0"/>
          <w:numId w:val="14"/>
        </w:numPr>
        <w:snapToGrid w:val="0"/>
        <w:spacing w:before="120" w:after="120" w:line="240" w:lineRule="auto"/>
        <w:ind w:leftChars="200" w:left="440" w:firstLine="0"/>
        <w:jc w:val="both"/>
        <w:rPr>
          <w:rFonts w:eastAsia="宋体"/>
          <w:b w:val="0"/>
          <w:bCs w:val="0"/>
          <w:lang w:val="en-US" w:eastAsia="zh-CN"/>
        </w:rPr>
      </w:pPr>
      <w:r>
        <w:rPr>
          <w:rFonts w:hint="eastAsia"/>
          <w:b w:val="0"/>
          <w:bCs w:val="0"/>
          <w:lang w:val="en-US" w:eastAsia="zh-CN"/>
        </w:rPr>
        <w:t>P(</w:t>
      </w:r>
      <w:proofErr w:type="spellStart"/>
      <w:proofErr w:type="gramStart"/>
      <w:r>
        <w:rPr>
          <w:rFonts w:hint="eastAsia"/>
          <w:b w:val="0"/>
          <w:bCs w:val="0"/>
          <w:lang w:val="en-US" w:eastAsia="zh-CN"/>
        </w:rPr>
        <w:t>a,b</w:t>
      </w:r>
      <w:proofErr w:type="gramEnd"/>
      <w:r>
        <w:rPr>
          <w:rFonts w:hint="eastAsia"/>
          <w:b w:val="0"/>
          <w:bCs w:val="0"/>
          <w:lang w:val="en-US" w:eastAsia="zh-CN"/>
        </w:rPr>
        <w:t>,c</w:t>
      </w:r>
      <w:proofErr w:type="spellEnd"/>
      <w:r>
        <w:rPr>
          <w:rFonts w:hint="eastAsia"/>
          <w:b w:val="0"/>
          <w:bCs w:val="0"/>
          <w:lang w:val="en-US" w:eastAsia="zh-CN"/>
        </w:rPr>
        <w:t xml:space="preserve">) = </w:t>
      </w:r>
      <w:proofErr w:type="spellStart"/>
      <w:r>
        <w:rPr>
          <w:rFonts w:hint="eastAsia"/>
          <w:b w:val="0"/>
          <w:bCs w:val="0"/>
          <w:lang w:val="en-US" w:eastAsia="zh-CN"/>
        </w:rPr>
        <w:t>P</w:t>
      </w:r>
      <w:r>
        <w:rPr>
          <w:rFonts w:hint="eastAsia"/>
          <w:b w:val="0"/>
          <w:bCs w:val="0"/>
          <w:vertAlign w:val="subscript"/>
          <w:lang w:val="en-US" w:eastAsia="zh-CN"/>
        </w:rPr>
        <w:t>micro</w:t>
      </w:r>
      <w:proofErr w:type="spellEnd"/>
      <w:r>
        <w:rPr>
          <w:rFonts w:hint="eastAsia"/>
          <w:b w:val="0"/>
          <w:bCs w:val="0"/>
          <w:vertAlign w:val="subscript"/>
          <w:lang w:val="en-US" w:eastAsia="zh-CN"/>
        </w:rPr>
        <w:t>-sleep</w:t>
      </w:r>
      <w:r>
        <w:rPr>
          <w:rFonts w:hint="eastAsia"/>
          <w:b w:val="0"/>
          <w:bCs w:val="0"/>
          <w:lang w:val="en-US" w:eastAsia="zh-CN"/>
        </w:rPr>
        <w:t xml:space="preserve"> + (P</w:t>
      </w:r>
      <w:r>
        <w:rPr>
          <w:rFonts w:hint="eastAsia"/>
          <w:b w:val="0"/>
          <w:bCs w:val="0"/>
          <w:vertAlign w:val="subscript"/>
          <w:lang w:val="en-US" w:eastAsia="zh-CN"/>
        </w:rPr>
        <w:t>t</w:t>
      </w:r>
      <w:r>
        <w:rPr>
          <w:rFonts w:hint="eastAsia"/>
          <w:b w:val="0"/>
          <w:bCs w:val="0"/>
          <w:lang w:val="en-US" w:eastAsia="zh-CN"/>
        </w:rPr>
        <w:t xml:space="preserve"> </w:t>
      </w:r>
      <w:r>
        <w:rPr>
          <w:rFonts w:hint="eastAsia"/>
          <w:b w:val="0"/>
          <w:bCs w:val="0"/>
          <w:lang w:val="en-US" w:eastAsia="zh-CN"/>
        </w:rPr>
        <w:t>–</w:t>
      </w:r>
      <w:r>
        <w:rPr>
          <w:rFonts w:hint="eastAsia"/>
          <w:b w:val="0"/>
          <w:bCs w:val="0"/>
          <w:lang w:val="en-US" w:eastAsia="zh-CN"/>
        </w:rPr>
        <w:t xml:space="preserve"> </w:t>
      </w:r>
      <w:proofErr w:type="spellStart"/>
      <w:r>
        <w:rPr>
          <w:rFonts w:hint="eastAsia"/>
          <w:b w:val="0"/>
          <w:bCs w:val="0"/>
          <w:lang w:val="en-US" w:eastAsia="zh-CN"/>
        </w:rPr>
        <w:t>P</w:t>
      </w:r>
      <w:r>
        <w:rPr>
          <w:rFonts w:hint="eastAsia"/>
          <w:b w:val="0"/>
          <w:bCs w:val="0"/>
          <w:vertAlign w:val="subscript"/>
          <w:lang w:val="en-US" w:eastAsia="zh-CN"/>
        </w:rPr>
        <w:t>micro</w:t>
      </w:r>
      <w:proofErr w:type="spellEnd"/>
      <w:r>
        <w:rPr>
          <w:rFonts w:hint="eastAsia"/>
          <w:b w:val="0"/>
          <w:bCs w:val="0"/>
          <w:vertAlign w:val="subscript"/>
          <w:lang w:val="en-US" w:eastAsia="zh-CN"/>
        </w:rPr>
        <w:t>-sleep</w:t>
      </w:r>
      <w:r>
        <w:rPr>
          <w:rFonts w:hint="eastAsia"/>
          <w:b w:val="0"/>
          <w:bCs w:val="0"/>
          <w:lang w:val="en-US" w:eastAsia="zh-CN"/>
        </w:rPr>
        <w:t>)*a*b*t</w:t>
      </w:r>
    </w:p>
    <w:p w:rsidR="0048332A" w:rsidRDefault="008337A7">
      <w:pPr>
        <w:pStyle w:val="YJ-Proposal"/>
        <w:numPr>
          <w:ilvl w:val="0"/>
          <w:numId w:val="14"/>
        </w:numPr>
        <w:snapToGrid w:val="0"/>
        <w:spacing w:before="120" w:after="120" w:line="240" w:lineRule="auto"/>
        <w:ind w:leftChars="200" w:left="440" w:firstLine="0"/>
        <w:jc w:val="both"/>
        <w:rPr>
          <w:rFonts w:eastAsia="宋体"/>
          <w:b w:val="0"/>
          <w:bCs w:val="0"/>
          <w:lang w:val="en-US" w:eastAsia="zh-CN"/>
        </w:rPr>
      </w:pPr>
      <w:r>
        <w:rPr>
          <w:rFonts w:hint="eastAsia"/>
          <w:b w:val="0"/>
          <w:bCs w:val="0"/>
          <w:lang w:val="en-US" w:eastAsia="zh-CN"/>
        </w:rPr>
        <w:t xml:space="preserve">Wherein, </w:t>
      </w:r>
    </w:p>
    <w:p w:rsidR="0048332A" w:rsidRDefault="008337A7">
      <w:pPr>
        <w:pStyle w:val="YJ-Proposal"/>
        <w:numPr>
          <w:ilvl w:val="2"/>
          <w:numId w:val="7"/>
        </w:numPr>
        <w:snapToGrid w:val="0"/>
        <w:spacing w:before="120" w:after="120" w:line="240" w:lineRule="auto"/>
        <w:rPr>
          <w:b w:val="0"/>
          <w:bCs w:val="0"/>
          <w:lang w:val="en-US" w:eastAsia="zh-CN"/>
        </w:rPr>
      </w:pPr>
      <w:r>
        <w:rPr>
          <w:rFonts w:hint="eastAsia"/>
          <w:b w:val="0"/>
          <w:bCs w:val="0"/>
          <w:lang w:val="en-US" w:eastAsia="zh-CN"/>
        </w:rPr>
        <w:t>P</w:t>
      </w:r>
      <w:r>
        <w:rPr>
          <w:rFonts w:hint="eastAsia"/>
          <w:b w:val="0"/>
          <w:bCs w:val="0"/>
          <w:vertAlign w:val="subscript"/>
          <w:lang w:val="en-US" w:eastAsia="zh-CN"/>
        </w:rPr>
        <w:t>t</w:t>
      </w:r>
      <w:r>
        <w:rPr>
          <w:rFonts w:hint="eastAsia"/>
          <w:b w:val="0"/>
          <w:bCs w:val="0"/>
          <w:lang w:val="en-US" w:eastAsia="zh-CN"/>
        </w:rPr>
        <w:t xml:space="preserve"> is relative power of PDSCH or reference signal reception under the reference configuration,</w:t>
      </w:r>
    </w:p>
    <w:p w:rsidR="0048332A" w:rsidRDefault="008337A7">
      <w:pPr>
        <w:pStyle w:val="YJ-Proposal"/>
        <w:numPr>
          <w:ilvl w:val="2"/>
          <w:numId w:val="7"/>
        </w:numPr>
        <w:snapToGrid w:val="0"/>
        <w:spacing w:before="120" w:after="120" w:line="240" w:lineRule="auto"/>
        <w:rPr>
          <w:b w:val="0"/>
          <w:bCs w:val="0"/>
          <w:lang w:val="en-US" w:eastAsia="zh-CN"/>
        </w:rPr>
      </w:pPr>
      <w:r>
        <w:rPr>
          <w:rFonts w:hint="eastAsia"/>
          <w:b w:val="0"/>
          <w:bCs w:val="0"/>
          <w:lang w:val="en-US" w:eastAsia="zh-CN"/>
        </w:rPr>
        <w:t xml:space="preserve">a is UE antenna scaling factor, calculated as a = </w:t>
      </w:r>
      <w:proofErr w:type="spellStart"/>
      <w:r>
        <w:rPr>
          <w:rFonts w:hint="eastAsia"/>
          <w:b w:val="0"/>
          <w:bCs w:val="0"/>
          <w:lang w:val="en-US" w:eastAsia="zh-CN"/>
        </w:rPr>
        <w:t>A_use</w:t>
      </w:r>
      <w:proofErr w:type="spellEnd"/>
      <w:r>
        <w:rPr>
          <w:rFonts w:hint="eastAsia"/>
          <w:b w:val="0"/>
          <w:bCs w:val="0"/>
          <w:lang w:val="en-US" w:eastAsia="zh-CN"/>
        </w:rPr>
        <w:t>/</w:t>
      </w:r>
      <w:proofErr w:type="spellStart"/>
      <w:r>
        <w:rPr>
          <w:rFonts w:hint="eastAsia"/>
          <w:b w:val="0"/>
          <w:bCs w:val="0"/>
          <w:lang w:val="en-US" w:eastAsia="zh-CN"/>
        </w:rPr>
        <w:t>A_ref</w:t>
      </w:r>
      <w:proofErr w:type="spellEnd"/>
      <w:r>
        <w:rPr>
          <w:rFonts w:hint="eastAsia"/>
          <w:b w:val="0"/>
          <w:bCs w:val="0"/>
          <w:lang w:val="en-US" w:eastAsia="zh-CN"/>
        </w:rPr>
        <w:t xml:space="preserve">, wherein, </w:t>
      </w:r>
      <w:proofErr w:type="spellStart"/>
      <w:r>
        <w:rPr>
          <w:rFonts w:hint="eastAsia"/>
          <w:b w:val="0"/>
          <w:bCs w:val="0"/>
          <w:lang w:val="en-US" w:eastAsia="zh-CN"/>
        </w:rPr>
        <w:t>A_use</w:t>
      </w:r>
      <w:proofErr w:type="spellEnd"/>
      <w:r>
        <w:rPr>
          <w:rFonts w:hint="eastAsia"/>
          <w:b w:val="0"/>
          <w:bCs w:val="0"/>
          <w:lang w:val="en-US" w:eastAsia="zh-CN"/>
        </w:rPr>
        <w:t xml:space="preserve"> is the number of UE antenna used in a slot, </w:t>
      </w:r>
      <w:proofErr w:type="spellStart"/>
      <w:r>
        <w:rPr>
          <w:rFonts w:hint="eastAsia"/>
          <w:b w:val="0"/>
          <w:bCs w:val="0"/>
          <w:lang w:val="en-US" w:eastAsia="zh-CN"/>
        </w:rPr>
        <w:t>A_ref</w:t>
      </w:r>
      <w:proofErr w:type="spellEnd"/>
      <w:r>
        <w:rPr>
          <w:rFonts w:hint="eastAsia"/>
          <w:b w:val="0"/>
          <w:bCs w:val="0"/>
          <w:lang w:val="en-US" w:eastAsia="zh-CN"/>
        </w:rPr>
        <w:t xml:space="preserve"> is the number of UE antenna in reference configuration</w:t>
      </w:r>
    </w:p>
    <w:p w:rsidR="0048332A" w:rsidRDefault="008337A7">
      <w:pPr>
        <w:pStyle w:val="YJ-Proposal"/>
        <w:numPr>
          <w:ilvl w:val="2"/>
          <w:numId w:val="7"/>
        </w:numPr>
        <w:snapToGrid w:val="0"/>
        <w:spacing w:before="120" w:after="120" w:line="240" w:lineRule="auto"/>
        <w:rPr>
          <w:b w:val="0"/>
          <w:bCs w:val="0"/>
          <w:lang w:val="en-US" w:eastAsia="zh-CN"/>
        </w:rPr>
      </w:pPr>
      <w:r>
        <w:rPr>
          <w:rFonts w:hint="eastAsia"/>
          <w:b w:val="0"/>
          <w:bCs w:val="0"/>
          <w:lang w:val="en-US" w:eastAsia="zh-CN"/>
        </w:rPr>
        <w:t xml:space="preserve">b is system bandwidth scaling factor, calculated as b = </w:t>
      </w:r>
      <w:proofErr w:type="spellStart"/>
      <w:r>
        <w:rPr>
          <w:rFonts w:hint="eastAsia"/>
          <w:b w:val="0"/>
          <w:bCs w:val="0"/>
          <w:lang w:val="en-US" w:eastAsia="zh-CN"/>
        </w:rPr>
        <w:t>B_use</w:t>
      </w:r>
      <w:proofErr w:type="spellEnd"/>
      <w:r>
        <w:rPr>
          <w:rFonts w:hint="eastAsia"/>
          <w:b w:val="0"/>
          <w:bCs w:val="0"/>
          <w:lang w:val="en-US" w:eastAsia="zh-CN"/>
        </w:rPr>
        <w:t>/</w:t>
      </w:r>
      <w:proofErr w:type="spellStart"/>
      <w:r>
        <w:rPr>
          <w:rFonts w:hint="eastAsia"/>
          <w:b w:val="0"/>
          <w:bCs w:val="0"/>
          <w:lang w:val="en-US" w:eastAsia="zh-CN"/>
        </w:rPr>
        <w:t>B_ref</w:t>
      </w:r>
      <w:proofErr w:type="spellEnd"/>
      <w:r>
        <w:rPr>
          <w:rFonts w:hint="eastAsia"/>
          <w:b w:val="0"/>
          <w:bCs w:val="0"/>
          <w:lang w:val="en-US" w:eastAsia="zh-CN"/>
        </w:rPr>
        <w:t xml:space="preserve">, wherein, </w:t>
      </w:r>
      <w:proofErr w:type="spellStart"/>
      <w:r>
        <w:rPr>
          <w:rFonts w:hint="eastAsia"/>
          <w:b w:val="0"/>
          <w:bCs w:val="0"/>
          <w:lang w:val="en-US" w:eastAsia="zh-CN"/>
        </w:rPr>
        <w:t>B_use</w:t>
      </w:r>
      <w:proofErr w:type="spellEnd"/>
      <w:r>
        <w:rPr>
          <w:rFonts w:hint="eastAsia"/>
          <w:b w:val="0"/>
          <w:bCs w:val="0"/>
          <w:lang w:val="en-US" w:eastAsia="zh-CN"/>
        </w:rPr>
        <w:t xml:space="preserve"> is the reception bandwidth in one slot, </w:t>
      </w:r>
      <w:proofErr w:type="spellStart"/>
      <w:r>
        <w:rPr>
          <w:rFonts w:hint="eastAsia"/>
          <w:b w:val="0"/>
          <w:bCs w:val="0"/>
          <w:lang w:val="en-US" w:eastAsia="zh-CN"/>
        </w:rPr>
        <w:t>B_ref</w:t>
      </w:r>
      <w:proofErr w:type="spellEnd"/>
      <w:r>
        <w:rPr>
          <w:rFonts w:hint="eastAsia"/>
          <w:b w:val="0"/>
          <w:bCs w:val="0"/>
          <w:lang w:val="en-US" w:eastAsia="zh-CN"/>
        </w:rPr>
        <w:t xml:space="preserve"> is the system bandwidth in reference configuration</w:t>
      </w:r>
    </w:p>
    <w:p w:rsidR="0048332A" w:rsidRDefault="008337A7">
      <w:pPr>
        <w:pStyle w:val="YJ-Proposal"/>
        <w:numPr>
          <w:ilvl w:val="2"/>
          <w:numId w:val="7"/>
        </w:numPr>
        <w:snapToGrid w:val="0"/>
        <w:spacing w:before="120" w:after="120" w:line="240" w:lineRule="auto"/>
        <w:rPr>
          <w:rFonts w:eastAsia="宋体"/>
          <w:b w:val="0"/>
          <w:bCs w:val="0"/>
          <w:lang w:val="en-US" w:eastAsia="zh-CN"/>
        </w:rPr>
      </w:pPr>
      <w:proofErr w:type="spellStart"/>
      <w:r>
        <w:rPr>
          <w:rFonts w:hint="eastAsia"/>
          <w:b w:val="0"/>
          <w:bCs w:val="0"/>
          <w:lang w:val="en-US" w:eastAsia="zh-CN"/>
        </w:rPr>
        <w:t>t</w:t>
      </w:r>
      <w:proofErr w:type="spellEnd"/>
      <w:r>
        <w:rPr>
          <w:rFonts w:hint="eastAsia"/>
          <w:b w:val="0"/>
          <w:bCs w:val="0"/>
          <w:lang w:val="en-US" w:eastAsia="zh-CN"/>
        </w:rPr>
        <w:t xml:space="preserve"> is time domain scaling factor, calculated as t = </w:t>
      </w:r>
      <w:proofErr w:type="spellStart"/>
      <w:r>
        <w:rPr>
          <w:rFonts w:hint="eastAsia"/>
          <w:b w:val="0"/>
          <w:bCs w:val="0"/>
          <w:lang w:val="en-US" w:eastAsia="zh-CN"/>
        </w:rPr>
        <w:t>T_use</w:t>
      </w:r>
      <w:proofErr w:type="spellEnd"/>
      <w:r>
        <w:rPr>
          <w:rFonts w:hint="eastAsia"/>
          <w:b w:val="0"/>
          <w:bCs w:val="0"/>
          <w:lang w:val="en-US" w:eastAsia="zh-CN"/>
        </w:rPr>
        <w:t>/</w:t>
      </w:r>
      <w:proofErr w:type="spellStart"/>
      <w:r>
        <w:rPr>
          <w:rFonts w:hint="eastAsia"/>
          <w:b w:val="0"/>
          <w:bCs w:val="0"/>
          <w:lang w:val="en-US" w:eastAsia="zh-CN"/>
        </w:rPr>
        <w:t>T_ref</w:t>
      </w:r>
      <w:proofErr w:type="spellEnd"/>
      <w:r>
        <w:rPr>
          <w:rFonts w:hint="eastAsia"/>
          <w:b w:val="0"/>
          <w:bCs w:val="0"/>
          <w:lang w:val="en-US" w:eastAsia="zh-CN"/>
        </w:rPr>
        <w:t xml:space="preserve">, wherein, </w:t>
      </w:r>
      <w:proofErr w:type="spellStart"/>
      <w:r>
        <w:rPr>
          <w:rFonts w:hint="eastAsia"/>
          <w:b w:val="0"/>
          <w:bCs w:val="0"/>
          <w:lang w:val="en-US" w:eastAsia="zh-CN"/>
        </w:rPr>
        <w:t>T_use</w:t>
      </w:r>
      <w:proofErr w:type="spellEnd"/>
      <w:r>
        <w:rPr>
          <w:rFonts w:hint="eastAsia"/>
          <w:b w:val="0"/>
          <w:bCs w:val="0"/>
          <w:lang w:val="en-US" w:eastAsia="zh-CN"/>
        </w:rPr>
        <w:t xml:space="preserve"> is the occupied time domain resource of a power state in one slot, </w:t>
      </w:r>
      <w:proofErr w:type="spellStart"/>
      <w:r>
        <w:rPr>
          <w:rFonts w:hint="eastAsia"/>
          <w:b w:val="0"/>
          <w:bCs w:val="0"/>
          <w:lang w:val="en-US" w:eastAsia="zh-CN"/>
        </w:rPr>
        <w:t>T_ref</w:t>
      </w:r>
      <w:proofErr w:type="spellEnd"/>
      <w:r>
        <w:rPr>
          <w:rFonts w:hint="eastAsia"/>
          <w:b w:val="0"/>
          <w:bCs w:val="0"/>
          <w:lang w:val="en-US" w:eastAsia="zh-CN"/>
        </w:rPr>
        <w:t xml:space="preserve"> is the occupied time domain resource in reference configuration.</w:t>
      </w:r>
    </w:p>
    <w:p w:rsidR="0048332A" w:rsidRDefault="008337A7">
      <w:pPr>
        <w:numPr>
          <w:ilvl w:val="255"/>
          <w:numId w:val="0"/>
        </w:numPr>
        <w:spacing w:beforeLines="50" w:before="120" w:afterLines="50" w:after="120"/>
        <w:contextualSpacing/>
        <w:jc w:val="both"/>
        <w:rPr>
          <w:b/>
          <w:bCs/>
          <w:kern w:val="2"/>
          <w:sz w:val="20"/>
          <w:szCs w:val="20"/>
          <w:u w:val="single"/>
        </w:rPr>
      </w:pPr>
      <w:r>
        <w:rPr>
          <w:b/>
          <w:bCs/>
          <w:kern w:val="2"/>
          <w:sz w:val="20"/>
          <w:szCs w:val="20"/>
          <w:u w:val="single"/>
        </w:rPr>
        <w:t>PDCCH candidate scaling</w:t>
      </w:r>
    </w:p>
    <w:p w:rsidR="0048332A" w:rsidRDefault="008337A7">
      <w:pPr>
        <w:spacing w:beforeLines="50" w:before="120" w:afterLines="50" w:after="120"/>
        <w:jc w:val="both"/>
        <w:rPr>
          <w:kern w:val="2"/>
          <w:sz w:val="20"/>
          <w:szCs w:val="20"/>
        </w:rPr>
      </w:pPr>
      <w:r>
        <w:rPr>
          <w:kern w:val="2"/>
          <w:sz w:val="20"/>
          <w:szCs w:val="20"/>
        </w:rPr>
        <w:t>The power of PDCCH with different number of PDCCH candidate is calculated according to:</w:t>
      </w:r>
    </w:p>
    <w:p w:rsidR="0048332A" w:rsidRDefault="008337A7">
      <w:pPr>
        <w:spacing w:beforeLines="50" w:before="120" w:afterLines="50" w:after="120"/>
        <w:jc w:val="center"/>
        <w:rPr>
          <w:kern w:val="2"/>
          <w:sz w:val="20"/>
          <w:szCs w:val="20"/>
        </w:rPr>
      </w:pPr>
      <w:r>
        <w:rPr>
          <w:kern w:val="2"/>
          <w:sz w:val="20"/>
          <w:szCs w:val="20"/>
        </w:rPr>
        <w:t>P(d) = max (</w:t>
      </w:r>
      <w:proofErr w:type="spellStart"/>
      <w:r>
        <w:rPr>
          <w:rFonts w:hint="eastAsia"/>
          <w:kern w:val="2"/>
          <w:sz w:val="20"/>
          <w:szCs w:val="20"/>
        </w:rPr>
        <w:t>P</w:t>
      </w:r>
      <w:r>
        <w:rPr>
          <w:rFonts w:hint="eastAsia"/>
          <w:kern w:val="2"/>
          <w:sz w:val="20"/>
          <w:szCs w:val="20"/>
          <w:vertAlign w:val="subscript"/>
        </w:rPr>
        <w:t>micro</w:t>
      </w:r>
      <w:proofErr w:type="spellEnd"/>
      <w:r>
        <w:rPr>
          <w:rFonts w:hint="eastAsia"/>
          <w:kern w:val="2"/>
          <w:sz w:val="20"/>
          <w:szCs w:val="20"/>
          <w:vertAlign w:val="subscript"/>
        </w:rPr>
        <w:t>-sleep</w:t>
      </w:r>
      <w:r>
        <w:rPr>
          <w:kern w:val="2"/>
          <w:sz w:val="20"/>
          <w:szCs w:val="20"/>
        </w:rPr>
        <w:t>, c ∙ Pt + (1 – c) ∙ 0.7Pt)),</w:t>
      </w:r>
    </w:p>
    <w:p w:rsidR="0048332A" w:rsidRDefault="008337A7">
      <w:pPr>
        <w:spacing w:beforeLines="50" w:before="120" w:afterLines="50" w:after="120"/>
        <w:jc w:val="both"/>
        <w:rPr>
          <w:kern w:val="2"/>
          <w:sz w:val="20"/>
          <w:szCs w:val="20"/>
        </w:rPr>
      </w:pPr>
      <w:r>
        <w:rPr>
          <w:kern w:val="2"/>
          <w:sz w:val="20"/>
          <w:szCs w:val="20"/>
        </w:rPr>
        <w:t xml:space="preserve">where </w:t>
      </w:r>
    </w:p>
    <w:p w:rsidR="0048332A" w:rsidRDefault="008337A7">
      <w:pPr>
        <w:spacing w:beforeLines="50" w:before="120" w:afterLines="50" w:after="120"/>
        <w:jc w:val="both"/>
        <w:rPr>
          <w:kern w:val="2"/>
          <w:sz w:val="20"/>
          <w:szCs w:val="20"/>
        </w:rPr>
      </w:pPr>
      <w:r>
        <w:rPr>
          <w:kern w:val="2"/>
          <w:sz w:val="20"/>
          <w:szCs w:val="20"/>
        </w:rPr>
        <w:t>Pt is the power of PDCCH for reference configuration.</w:t>
      </w:r>
    </w:p>
    <w:p w:rsidR="0048332A" w:rsidRDefault="008337A7">
      <w:pPr>
        <w:spacing w:beforeLines="50" w:before="120" w:afterLines="50" w:after="120"/>
        <w:rPr>
          <w:kern w:val="2"/>
          <w:sz w:val="20"/>
          <w:szCs w:val="20"/>
        </w:rPr>
      </w:pPr>
      <w:r>
        <w:rPr>
          <w:rFonts w:hint="eastAsia"/>
          <w:kern w:val="2"/>
          <w:sz w:val="20"/>
          <w:szCs w:val="20"/>
        </w:rPr>
        <w:t xml:space="preserve">c is </w:t>
      </w:r>
      <w:r>
        <w:rPr>
          <w:kern w:val="2"/>
          <w:sz w:val="20"/>
          <w:szCs w:val="20"/>
        </w:rPr>
        <w:t>PDCCH candidate scaling factor</w:t>
      </w:r>
      <w:r>
        <w:rPr>
          <w:rFonts w:hint="eastAsia"/>
          <w:kern w:val="2"/>
          <w:sz w:val="20"/>
          <w:szCs w:val="20"/>
        </w:rPr>
        <w:t xml:space="preserve">, calculated as </w:t>
      </w:r>
      <w:r>
        <w:rPr>
          <w:kern w:val="2"/>
          <w:sz w:val="20"/>
          <w:szCs w:val="20"/>
        </w:rPr>
        <w:t xml:space="preserve">c = </w:t>
      </w:r>
      <w:proofErr w:type="spellStart"/>
      <w:r>
        <w:rPr>
          <w:kern w:val="2"/>
          <w:sz w:val="20"/>
          <w:szCs w:val="20"/>
        </w:rPr>
        <w:t>C_use</w:t>
      </w:r>
      <w:proofErr w:type="spellEnd"/>
      <w:r>
        <w:rPr>
          <w:kern w:val="2"/>
          <w:sz w:val="20"/>
          <w:szCs w:val="20"/>
        </w:rPr>
        <w:t>/</w:t>
      </w:r>
      <w:proofErr w:type="spellStart"/>
      <w:r>
        <w:rPr>
          <w:kern w:val="2"/>
          <w:sz w:val="20"/>
          <w:szCs w:val="20"/>
        </w:rPr>
        <w:t>C_ref</w:t>
      </w:r>
      <w:proofErr w:type="spellEnd"/>
      <w:r>
        <w:rPr>
          <w:kern w:val="2"/>
          <w:sz w:val="20"/>
          <w:szCs w:val="20"/>
        </w:rPr>
        <w:t>,</w:t>
      </w:r>
      <w:r>
        <w:rPr>
          <w:rFonts w:hint="eastAsia"/>
          <w:kern w:val="2"/>
          <w:sz w:val="20"/>
          <w:szCs w:val="20"/>
        </w:rPr>
        <w:t xml:space="preserve"> </w:t>
      </w:r>
      <w:r>
        <w:rPr>
          <w:kern w:val="2"/>
          <w:sz w:val="20"/>
          <w:szCs w:val="20"/>
        </w:rPr>
        <w:t xml:space="preserve">wherein, </w:t>
      </w:r>
    </w:p>
    <w:p w:rsidR="0048332A" w:rsidRDefault="008337A7">
      <w:pPr>
        <w:spacing w:beforeLines="50" w:before="120" w:afterLines="50" w:after="120"/>
        <w:ind w:leftChars="100" w:left="220"/>
        <w:rPr>
          <w:kern w:val="2"/>
          <w:sz w:val="20"/>
          <w:szCs w:val="20"/>
        </w:rPr>
      </w:pPr>
      <w:proofErr w:type="spellStart"/>
      <w:r>
        <w:rPr>
          <w:kern w:val="2"/>
          <w:sz w:val="20"/>
          <w:szCs w:val="20"/>
        </w:rPr>
        <w:t>C_use</w:t>
      </w:r>
      <w:proofErr w:type="spellEnd"/>
      <w:r>
        <w:rPr>
          <w:kern w:val="2"/>
          <w:sz w:val="20"/>
          <w:szCs w:val="20"/>
        </w:rPr>
        <w:t xml:space="preserve"> is the number of PDCCH candidate, </w:t>
      </w:r>
    </w:p>
    <w:p w:rsidR="0048332A" w:rsidRDefault="008337A7">
      <w:pPr>
        <w:spacing w:beforeLines="50" w:before="120" w:afterLines="50" w:after="120"/>
        <w:ind w:leftChars="100" w:left="220"/>
        <w:rPr>
          <w:kern w:val="2"/>
          <w:sz w:val="20"/>
          <w:szCs w:val="20"/>
        </w:rPr>
      </w:pPr>
      <w:proofErr w:type="spellStart"/>
      <w:r>
        <w:rPr>
          <w:kern w:val="2"/>
          <w:sz w:val="20"/>
          <w:szCs w:val="20"/>
        </w:rPr>
        <w:t>C_ref</w:t>
      </w:r>
      <w:proofErr w:type="spellEnd"/>
      <w:r>
        <w:rPr>
          <w:kern w:val="2"/>
          <w:sz w:val="20"/>
          <w:szCs w:val="20"/>
        </w:rPr>
        <w:t xml:space="preserve"> is the number of PDCCH candidate in reference configuration.</w:t>
      </w:r>
    </w:p>
    <w:p w:rsidR="0048332A" w:rsidRDefault="008337A7">
      <w:pPr>
        <w:pStyle w:val="ListParagraph"/>
        <w:numPr>
          <w:ilvl w:val="255"/>
          <w:numId w:val="0"/>
        </w:numPr>
        <w:snapToGrid w:val="0"/>
        <w:spacing w:before="181" w:after="181"/>
        <w:rPr>
          <w:rFonts w:ascii="Times New Roman" w:eastAsia="宋体" w:hAnsi="Times New Roman"/>
          <w:i/>
          <w:iCs/>
          <w:kern w:val="2"/>
          <w:szCs w:val="20"/>
          <w:lang w:val="en-US"/>
        </w:rPr>
      </w:pPr>
      <w:r>
        <w:rPr>
          <w:rFonts w:ascii="Times New Roman" w:hAnsi="Times New Roman"/>
          <w:b/>
          <w:i/>
          <w:szCs w:val="20"/>
        </w:rPr>
        <w:t>Proposal 3-1-</w:t>
      </w:r>
      <w:r>
        <w:rPr>
          <w:rFonts w:ascii="Times New Roman" w:eastAsia="宋体" w:hAnsi="Times New Roman"/>
          <w:b/>
          <w:i/>
          <w:szCs w:val="20"/>
          <w:lang w:val="en-US"/>
        </w:rPr>
        <w:t>8</w:t>
      </w:r>
      <w:r>
        <w:rPr>
          <w:rFonts w:ascii="Times New Roman" w:hAnsi="Times New Roman"/>
          <w:b/>
          <w:i/>
          <w:szCs w:val="20"/>
        </w:rPr>
        <w:t>:</w:t>
      </w:r>
      <w:r>
        <w:rPr>
          <w:rFonts w:ascii="Times New Roman" w:eastAsia="宋体" w:hAnsi="Times New Roman"/>
          <w:b/>
          <w:i/>
          <w:szCs w:val="20"/>
          <w:lang w:val="en-US"/>
        </w:rPr>
        <w:t xml:space="preserve"> </w:t>
      </w:r>
      <w:r>
        <w:rPr>
          <w:rFonts w:ascii="Times New Roman" w:eastAsia="宋体" w:hAnsi="Times New Roman" w:hint="eastAsia"/>
          <w:i/>
          <w:iCs/>
          <w:kern w:val="2"/>
          <w:szCs w:val="20"/>
          <w:lang w:val="en-US"/>
        </w:rPr>
        <w:t>The power of PDCCH with different number of PDCCH candidate is calculated according to:</w:t>
      </w:r>
    </w:p>
    <w:p w:rsidR="0048332A" w:rsidRDefault="008337A7">
      <w:pPr>
        <w:numPr>
          <w:ilvl w:val="1"/>
          <w:numId w:val="7"/>
        </w:numPr>
        <w:tabs>
          <w:tab w:val="left" w:pos="0"/>
        </w:tabs>
        <w:spacing w:beforeLines="50" w:before="120" w:afterLines="50" w:after="120"/>
        <w:jc w:val="both"/>
        <w:rPr>
          <w:i/>
          <w:iCs/>
          <w:kern w:val="2"/>
          <w:sz w:val="20"/>
        </w:rPr>
      </w:pPr>
      <w:r>
        <w:rPr>
          <w:rFonts w:hint="eastAsia"/>
          <w:i/>
          <w:iCs/>
          <w:kern w:val="2"/>
          <w:sz w:val="20"/>
        </w:rPr>
        <w:t>P(d) = max (</w:t>
      </w:r>
      <w:proofErr w:type="spellStart"/>
      <w:r>
        <w:rPr>
          <w:rFonts w:hint="eastAsia"/>
          <w:i/>
          <w:iCs/>
          <w:kern w:val="2"/>
          <w:sz w:val="20"/>
        </w:rPr>
        <w:t>P</w:t>
      </w:r>
      <w:r>
        <w:rPr>
          <w:rFonts w:hint="eastAsia"/>
          <w:i/>
          <w:iCs/>
          <w:kern w:val="2"/>
          <w:sz w:val="20"/>
          <w:vertAlign w:val="subscript"/>
        </w:rPr>
        <w:t>Micro</w:t>
      </w:r>
      <w:proofErr w:type="spellEnd"/>
      <w:r>
        <w:rPr>
          <w:rFonts w:hint="eastAsia"/>
          <w:i/>
          <w:iCs/>
          <w:kern w:val="2"/>
          <w:sz w:val="20"/>
          <w:vertAlign w:val="subscript"/>
        </w:rPr>
        <w:t>-sleep</w:t>
      </w:r>
      <w:r>
        <w:rPr>
          <w:rFonts w:hint="eastAsia"/>
          <w:i/>
          <w:iCs/>
          <w:kern w:val="2"/>
          <w:sz w:val="20"/>
        </w:rPr>
        <w:t xml:space="preserve">, c </w:t>
      </w:r>
      <w:r>
        <w:rPr>
          <w:rFonts w:hint="eastAsia"/>
          <w:i/>
          <w:iCs/>
          <w:kern w:val="2"/>
          <w:sz w:val="20"/>
        </w:rPr>
        <w:t>∙</w:t>
      </w:r>
      <w:r>
        <w:rPr>
          <w:rFonts w:hint="eastAsia"/>
          <w:i/>
          <w:iCs/>
          <w:kern w:val="2"/>
          <w:sz w:val="20"/>
        </w:rPr>
        <w:t xml:space="preserve"> Pt + (1 </w:t>
      </w:r>
      <w:r>
        <w:rPr>
          <w:rFonts w:hint="eastAsia"/>
          <w:i/>
          <w:iCs/>
          <w:kern w:val="2"/>
          <w:sz w:val="20"/>
        </w:rPr>
        <w:t>–</w:t>
      </w:r>
      <w:r>
        <w:rPr>
          <w:rFonts w:hint="eastAsia"/>
          <w:i/>
          <w:iCs/>
          <w:kern w:val="2"/>
          <w:sz w:val="20"/>
        </w:rPr>
        <w:t xml:space="preserve"> c) </w:t>
      </w:r>
      <w:r>
        <w:rPr>
          <w:rFonts w:hint="eastAsia"/>
          <w:i/>
          <w:iCs/>
          <w:kern w:val="2"/>
          <w:sz w:val="20"/>
        </w:rPr>
        <w:t>∙</w:t>
      </w:r>
      <w:r>
        <w:rPr>
          <w:rFonts w:hint="eastAsia"/>
          <w:i/>
          <w:iCs/>
          <w:kern w:val="2"/>
          <w:sz w:val="20"/>
        </w:rPr>
        <w:t xml:space="preserve"> 0.7Pt)),</w:t>
      </w:r>
    </w:p>
    <w:p w:rsidR="0048332A" w:rsidRDefault="008337A7">
      <w:pPr>
        <w:numPr>
          <w:ilvl w:val="1"/>
          <w:numId w:val="7"/>
        </w:numPr>
        <w:tabs>
          <w:tab w:val="left" w:pos="0"/>
        </w:tabs>
        <w:spacing w:beforeLines="50" w:before="120" w:afterLines="50" w:after="120"/>
        <w:jc w:val="both"/>
        <w:rPr>
          <w:i/>
          <w:iCs/>
          <w:kern w:val="2"/>
          <w:sz w:val="20"/>
        </w:rPr>
      </w:pPr>
      <w:r>
        <w:rPr>
          <w:rFonts w:hint="eastAsia"/>
          <w:i/>
          <w:iCs/>
          <w:kern w:val="2"/>
          <w:sz w:val="20"/>
        </w:rPr>
        <w:t xml:space="preserve">Wherein, </w:t>
      </w:r>
    </w:p>
    <w:p w:rsidR="0048332A" w:rsidRDefault="008337A7">
      <w:pPr>
        <w:numPr>
          <w:ilvl w:val="2"/>
          <w:numId w:val="7"/>
        </w:numPr>
        <w:tabs>
          <w:tab w:val="left" w:pos="0"/>
        </w:tabs>
        <w:spacing w:beforeLines="50" w:before="120" w:afterLines="50" w:after="120"/>
        <w:jc w:val="both"/>
        <w:rPr>
          <w:i/>
          <w:iCs/>
          <w:kern w:val="2"/>
          <w:sz w:val="20"/>
        </w:rPr>
      </w:pPr>
      <w:r>
        <w:rPr>
          <w:rFonts w:hint="eastAsia"/>
          <w:i/>
          <w:iCs/>
          <w:kern w:val="2"/>
          <w:sz w:val="20"/>
        </w:rPr>
        <w:t>Pt is the power of PDCCH for reference configuration.</w:t>
      </w:r>
    </w:p>
    <w:p w:rsidR="0048332A" w:rsidRDefault="008337A7">
      <w:pPr>
        <w:numPr>
          <w:ilvl w:val="2"/>
          <w:numId w:val="7"/>
        </w:numPr>
        <w:tabs>
          <w:tab w:val="left" w:pos="0"/>
        </w:tabs>
        <w:spacing w:beforeLines="50" w:before="120" w:afterLines="50" w:after="120"/>
        <w:jc w:val="both"/>
        <w:rPr>
          <w:i/>
          <w:iCs/>
          <w:kern w:val="2"/>
          <w:sz w:val="20"/>
        </w:rPr>
      </w:pPr>
      <w:r>
        <w:rPr>
          <w:rFonts w:hint="eastAsia"/>
          <w:i/>
          <w:iCs/>
          <w:kern w:val="2"/>
          <w:sz w:val="20"/>
        </w:rPr>
        <w:t xml:space="preserve">c is PDCCH candidate scaling factor, calculated as c = </w:t>
      </w:r>
      <w:proofErr w:type="spellStart"/>
      <w:r>
        <w:rPr>
          <w:rFonts w:hint="eastAsia"/>
          <w:i/>
          <w:iCs/>
          <w:kern w:val="2"/>
          <w:sz w:val="20"/>
        </w:rPr>
        <w:t>C_use</w:t>
      </w:r>
      <w:proofErr w:type="spellEnd"/>
      <w:r>
        <w:rPr>
          <w:rFonts w:hint="eastAsia"/>
          <w:i/>
          <w:iCs/>
          <w:kern w:val="2"/>
          <w:sz w:val="20"/>
        </w:rPr>
        <w:t>/</w:t>
      </w:r>
      <w:proofErr w:type="spellStart"/>
      <w:r>
        <w:rPr>
          <w:rFonts w:hint="eastAsia"/>
          <w:i/>
          <w:iCs/>
          <w:kern w:val="2"/>
          <w:sz w:val="20"/>
        </w:rPr>
        <w:t>C_ref</w:t>
      </w:r>
      <w:proofErr w:type="spellEnd"/>
      <w:r>
        <w:rPr>
          <w:rFonts w:hint="eastAsia"/>
          <w:i/>
          <w:iCs/>
          <w:kern w:val="2"/>
          <w:sz w:val="20"/>
        </w:rPr>
        <w:t xml:space="preserve">, wherein, </w:t>
      </w:r>
      <w:proofErr w:type="spellStart"/>
      <w:r>
        <w:rPr>
          <w:rFonts w:hint="eastAsia"/>
          <w:i/>
          <w:iCs/>
          <w:kern w:val="2"/>
          <w:sz w:val="20"/>
        </w:rPr>
        <w:t>C_use</w:t>
      </w:r>
      <w:proofErr w:type="spellEnd"/>
      <w:r>
        <w:rPr>
          <w:rFonts w:hint="eastAsia"/>
          <w:i/>
          <w:iCs/>
          <w:kern w:val="2"/>
          <w:sz w:val="20"/>
        </w:rPr>
        <w:t xml:space="preserve"> is the number of PDCCH candidate, </w:t>
      </w:r>
      <w:proofErr w:type="spellStart"/>
      <w:r>
        <w:rPr>
          <w:rFonts w:hint="eastAsia"/>
          <w:i/>
          <w:iCs/>
          <w:kern w:val="2"/>
          <w:sz w:val="20"/>
        </w:rPr>
        <w:t>C_ref</w:t>
      </w:r>
      <w:proofErr w:type="spellEnd"/>
      <w:r>
        <w:rPr>
          <w:rFonts w:hint="eastAsia"/>
          <w:i/>
          <w:iCs/>
          <w:kern w:val="2"/>
          <w:sz w:val="20"/>
        </w:rPr>
        <w:t xml:space="preserve"> is the number of PDCCH candidate in reference configuration</w:t>
      </w:r>
    </w:p>
    <w:p w:rsidR="0048332A" w:rsidRDefault="008337A7">
      <w:pPr>
        <w:numPr>
          <w:ilvl w:val="255"/>
          <w:numId w:val="0"/>
        </w:numPr>
        <w:spacing w:beforeLines="50" w:before="120" w:afterLines="50" w:after="120"/>
        <w:contextualSpacing/>
        <w:jc w:val="both"/>
        <w:rPr>
          <w:b/>
          <w:bCs/>
          <w:kern w:val="2"/>
          <w:sz w:val="20"/>
          <w:szCs w:val="20"/>
          <w:u w:val="single"/>
        </w:rPr>
      </w:pPr>
      <w:r>
        <w:rPr>
          <w:b/>
          <w:bCs/>
          <w:kern w:val="2"/>
          <w:sz w:val="20"/>
          <w:szCs w:val="20"/>
          <w:u w:val="single"/>
        </w:rPr>
        <w:lastRenderedPageBreak/>
        <w:t>UL power</w:t>
      </w:r>
      <w:r>
        <w:rPr>
          <w:rFonts w:hint="eastAsia"/>
          <w:b/>
          <w:bCs/>
          <w:kern w:val="2"/>
          <w:sz w:val="20"/>
          <w:szCs w:val="20"/>
          <w:u w:val="single"/>
        </w:rPr>
        <w:t xml:space="preserve"> consumption</w:t>
      </w:r>
    </w:p>
    <w:p w:rsidR="0048332A" w:rsidRDefault="008337A7">
      <w:pPr>
        <w:spacing w:beforeLines="50" w:before="120" w:afterLines="50" w:after="120"/>
        <w:jc w:val="both"/>
        <w:rPr>
          <w:kern w:val="2"/>
          <w:sz w:val="20"/>
          <w:szCs w:val="20"/>
        </w:rPr>
      </w:pPr>
      <w:r>
        <w:rPr>
          <w:kern w:val="2"/>
          <w:sz w:val="20"/>
          <w:szCs w:val="20"/>
        </w:rPr>
        <w:t>T</w:t>
      </w:r>
      <w:r>
        <w:rPr>
          <w:rFonts w:hint="eastAsia"/>
          <w:kern w:val="2"/>
          <w:sz w:val="20"/>
          <w:szCs w:val="20"/>
        </w:rPr>
        <w:t xml:space="preserve">he </w:t>
      </w:r>
      <w:r>
        <w:rPr>
          <w:kern w:val="2"/>
          <w:sz w:val="20"/>
          <w:szCs w:val="20"/>
        </w:rPr>
        <w:t>UL power</w:t>
      </w:r>
      <w:r>
        <w:rPr>
          <w:rFonts w:hint="eastAsia"/>
          <w:kern w:val="2"/>
          <w:sz w:val="20"/>
          <w:szCs w:val="20"/>
        </w:rPr>
        <w:t xml:space="preserve"> consumption</w:t>
      </w:r>
      <w:r>
        <w:rPr>
          <w:kern w:val="2"/>
          <w:sz w:val="20"/>
          <w:szCs w:val="20"/>
        </w:rPr>
        <w:t xml:space="preserve"> is </w:t>
      </w:r>
      <w:r>
        <w:rPr>
          <w:rFonts w:hint="eastAsia"/>
          <w:kern w:val="2"/>
          <w:sz w:val="20"/>
          <w:szCs w:val="20"/>
        </w:rPr>
        <w:t xml:space="preserve">closely </w:t>
      </w:r>
      <w:r>
        <w:rPr>
          <w:kern w:val="2"/>
          <w:sz w:val="20"/>
          <w:szCs w:val="20"/>
        </w:rPr>
        <w:t>related to UE transmi</w:t>
      </w:r>
      <w:r>
        <w:rPr>
          <w:rFonts w:hint="eastAsia"/>
          <w:kern w:val="2"/>
          <w:sz w:val="20"/>
          <w:szCs w:val="20"/>
        </w:rPr>
        <w:t>ssion</w:t>
      </w:r>
      <w:r>
        <w:rPr>
          <w:kern w:val="2"/>
          <w:sz w:val="20"/>
          <w:szCs w:val="20"/>
        </w:rPr>
        <w:t xml:space="preserve"> power.</w:t>
      </w:r>
      <w:r>
        <w:rPr>
          <w:rFonts w:hint="eastAsia"/>
          <w:kern w:val="2"/>
          <w:sz w:val="20"/>
          <w:szCs w:val="20"/>
        </w:rPr>
        <w:t xml:space="preserve"> In TR38.840, only two power levels are considered, which is not sufficient. Therefore, i</w:t>
      </w:r>
      <w:r>
        <w:rPr>
          <w:kern w:val="2"/>
          <w:sz w:val="20"/>
          <w:szCs w:val="20"/>
        </w:rPr>
        <w:t xml:space="preserve">n </w:t>
      </w:r>
      <w:r>
        <w:rPr>
          <w:rFonts w:hint="eastAsia"/>
          <w:kern w:val="2"/>
          <w:sz w:val="20"/>
          <w:szCs w:val="20"/>
        </w:rPr>
        <w:t>Rel-</w:t>
      </w:r>
      <w:r>
        <w:rPr>
          <w:kern w:val="2"/>
          <w:sz w:val="20"/>
          <w:szCs w:val="20"/>
        </w:rPr>
        <w:t>17 XR, the following</w:t>
      </w:r>
      <w:r>
        <w:rPr>
          <w:rFonts w:hint="eastAsia"/>
          <w:kern w:val="2"/>
          <w:sz w:val="20"/>
          <w:szCs w:val="20"/>
        </w:rPr>
        <w:t xml:space="preserve"> two</w:t>
      </w:r>
      <w:r>
        <w:rPr>
          <w:kern w:val="2"/>
          <w:sz w:val="20"/>
          <w:szCs w:val="20"/>
        </w:rPr>
        <w:t xml:space="preserve"> </w:t>
      </w:r>
      <w:r>
        <w:rPr>
          <w:rFonts w:hint="eastAsia"/>
          <w:kern w:val="2"/>
          <w:sz w:val="20"/>
          <w:szCs w:val="20"/>
        </w:rPr>
        <w:t xml:space="preserve">options </w:t>
      </w:r>
      <w:r>
        <w:rPr>
          <w:kern w:val="2"/>
          <w:sz w:val="20"/>
          <w:szCs w:val="20"/>
        </w:rPr>
        <w:t xml:space="preserve">were agreed and can be also used </w:t>
      </w:r>
      <w:r>
        <w:rPr>
          <w:rFonts w:hint="eastAsia"/>
          <w:kern w:val="2"/>
          <w:sz w:val="20"/>
          <w:szCs w:val="20"/>
        </w:rPr>
        <w:t xml:space="preserve">as starting point </w:t>
      </w:r>
      <w:r>
        <w:rPr>
          <w:kern w:val="2"/>
          <w:sz w:val="20"/>
          <w:szCs w:val="20"/>
        </w:rPr>
        <w:t>in 6G evaluation.</w:t>
      </w:r>
    </w:p>
    <w:p w:rsidR="0048332A" w:rsidRDefault="008337A7">
      <w:pPr>
        <w:numPr>
          <w:ilvl w:val="0"/>
          <w:numId w:val="15"/>
        </w:numPr>
        <w:spacing w:beforeLines="50" w:before="120" w:afterLines="50" w:after="120"/>
        <w:rPr>
          <w:kern w:val="2"/>
          <w:sz w:val="20"/>
          <w:szCs w:val="20"/>
        </w:rPr>
      </w:pPr>
      <w:r>
        <w:rPr>
          <w:rFonts w:hint="eastAsia"/>
          <w:kern w:val="2"/>
          <w:sz w:val="20"/>
          <w:szCs w:val="20"/>
        </w:rPr>
        <w:t xml:space="preserve">Option 1: </w:t>
      </w:r>
      <w:r>
        <w:rPr>
          <w:kern w:val="2"/>
          <w:sz w:val="20"/>
          <w:szCs w:val="20"/>
        </w:rPr>
        <w:t xml:space="preserve">Linear interpolation method in linear scale for Tx power values other than 0 dBm and 23 dBm </w:t>
      </w:r>
    </w:p>
    <w:p w:rsidR="0048332A" w:rsidRDefault="008337A7">
      <w:pPr>
        <w:numPr>
          <w:ilvl w:val="0"/>
          <w:numId w:val="15"/>
        </w:numPr>
        <w:spacing w:beforeLines="50" w:before="120" w:afterLines="50" w:after="120"/>
        <w:rPr>
          <w:kern w:val="2"/>
          <w:sz w:val="20"/>
          <w:szCs w:val="20"/>
        </w:rPr>
      </w:pPr>
      <w:r>
        <w:rPr>
          <w:rFonts w:hint="eastAsia"/>
          <w:kern w:val="2"/>
          <w:sz w:val="20"/>
          <w:szCs w:val="20"/>
        </w:rPr>
        <w:t xml:space="preserve">Option 2: </w:t>
      </w:r>
      <w:r>
        <w:rPr>
          <w:kern w:val="2"/>
          <w:sz w:val="20"/>
          <w:szCs w:val="20"/>
        </w:rPr>
        <w:t xml:space="preserve">Consider only two Tx power values as defined in TR 38.840 </w:t>
      </w:r>
    </w:p>
    <w:p w:rsidR="0048332A" w:rsidRDefault="008337A7">
      <w:pPr>
        <w:numPr>
          <w:ilvl w:val="1"/>
          <w:numId w:val="15"/>
        </w:numPr>
        <w:spacing w:beforeLines="50" w:before="120" w:afterLines="50" w:after="120"/>
        <w:rPr>
          <w:kern w:val="2"/>
          <w:sz w:val="20"/>
          <w:szCs w:val="20"/>
        </w:rPr>
      </w:pPr>
      <w:r>
        <w:rPr>
          <w:kern w:val="2"/>
          <w:sz w:val="20"/>
          <w:szCs w:val="20"/>
        </w:rPr>
        <w:t xml:space="preserve">Power number is given as A for X= [0, M] dBm and B for X </w:t>
      </w:r>
      <w:proofErr w:type="gramStart"/>
      <w:r>
        <w:rPr>
          <w:kern w:val="2"/>
          <w:sz w:val="20"/>
          <w:szCs w:val="20"/>
        </w:rPr>
        <w:t>=[</w:t>
      </w:r>
      <w:proofErr w:type="gramEnd"/>
      <w:r>
        <w:rPr>
          <w:kern w:val="2"/>
          <w:sz w:val="20"/>
          <w:szCs w:val="20"/>
        </w:rPr>
        <w:t xml:space="preserve">M, 23]dBm, where A and B (defined in 38.840) correspond to power consumption numbers for a given uplink slot for 0dBm and 23dBm respectively. </w:t>
      </w:r>
    </w:p>
    <w:p w:rsidR="0048332A" w:rsidRDefault="008337A7">
      <w:pPr>
        <w:numPr>
          <w:ilvl w:val="2"/>
          <w:numId w:val="15"/>
        </w:numPr>
        <w:spacing w:beforeLines="50" w:before="120" w:afterLines="50" w:after="120"/>
        <w:rPr>
          <w:kern w:val="2"/>
          <w:sz w:val="20"/>
          <w:szCs w:val="20"/>
        </w:rPr>
      </w:pPr>
      <w:r>
        <w:rPr>
          <w:kern w:val="2"/>
          <w:sz w:val="20"/>
          <w:szCs w:val="20"/>
        </w:rPr>
        <w:t>M = [20]</w:t>
      </w:r>
    </w:p>
    <w:p w:rsidR="0048332A" w:rsidRDefault="008337A7">
      <w:pPr>
        <w:numPr>
          <w:ilvl w:val="2"/>
          <w:numId w:val="15"/>
        </w:numPr>
        <w:spacing w:beforeLines="50" w:before="120" w:afterLines="50" w:after="120"/>
        <w:rPr>
          <w:kern w:val="2"/>
          <w:sz w:val="20"/>
          <w:szCs w:val="20"/>
        </w:rPr>
      </w:pPr>
      <w:r>
        <w:rPr>
          <w:kern w:val="2"/>
          <w:sz w:val="20"/>
          <w:szCs w:val="20"/>
        </w:rPr>
        <w:t>Other value(s) of M can be optionally evaluated</w:t>
      </w:r>
    </w:p>
    <w:p w:rsidR="0048332A" w:rsidRDefault="008337A7">
      <w:pPr>
        <w:numPr>
          <w:ilvl w:val="255"/>
          <w:numId w:val="0"/>
        </w:numPr>
        <w:spacing w:beforeLines="50" w:before="120" w:afterLines="50" w:after="120"/>
        <w:contextualSpacing/>
        <w:jc w:val="both"/>
        <w:rPr>
          <w:b/>
          <w:bCs/>
          <w:kern w:val="2"/>
          <w:sz w:val="20"/>
          <w:szCs w:val="20"/>
          <w:u w:val="single"/>
        </w:rPr>
      </w:pPr>
      <w:r>
        <w:rPr>
          <w:b/>
          <w:bCs/>
          <w:kern w:val="2"/>
          <w:sz w:val="20"/>
          <w:szCs w:val="20"/>
          <w:u w:val="single"/>
        </w:rPr>
        <w:t>Multiple power states in one slot</w:t>
      </w:r>
    </w:p>
    <w:p w:rsidR="0048332A" w:rsidRDefault="008337A7">
      <w:pPr>
        <w:spacing w:beforeLines="50" w:before="120" w:afterLines="50" w:after="120"/>
        <w:jc w:val="both"/>
        <w:rPr>
          <w:kern w:val="2"/>
          <w:sz w:val="20"/>
          <w:szCs w:val="20"/>
        </w:rPr>
      </w:pPr>
      <w:r>
        <w:rPr>
          <w:kern w:val="2"/>
          <w:sz w:val="20"/>
          <w:szCs w:val="20"/>
        </w:rPr>
        <w:t>When multiple power states in one slot, the power of the slot can be calculated according to:</w:t>
      </w:r>
    </w:p>
    <w:p w:rsidR="0048332A" w:rsidRDefault="00453965">
      <w:pPr>
        <w:spacing w:beforeLines="50" w:before="120" w:afterLines="50" w:after="120"/>
        <w:jc w:val="both"/>
        <w:rPr>
          <w:rFonts w:hAnsi="Cambria Math"/>
          <w:sz w:val="20"/>
          <w:szCs w:val="20"/>
        </w:rPr>
      </w:pPr>
      <m:oMathPara>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sum</m:t>
              </m:r>
            </m:sub>
          </m:sSub>
          <m:r>
            <w:rPr>
              <w:rFonts w:ascii="Cambria Math" w:hAnsi="Cambria Math"/>
              <w:sz w:val="20"/>
              <w:szCs w:val="20"/>
            </w:rPr>
            <m:t>=</m:t>
          </m:r>
          <m:nary>
            <m:naryPr>
              <m:chr m:val="∑"/>
              <m:limLoc m:val="subSup"/>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14</m:t>
              </m:r>
            </m:sup>
            <m:e>
              <m:r>
                <w:rPr>
                  <w:rFonts w:ascii="Cambria Math" w:hAnsi="Cambria Math"/>
                  <w:sz w:val="20"/>
                  <w:szCs w:val="20"/>
                </w:rPr>
                <m:t>P(i)</m:t>
              </m:r>
            </m:e>
          </m:nary>
        </m:oMath>
      </m:oMathPara>
    </w:p>
    <w:p w:rsidR="0048332A" w:rsidRDefault="008337A7">
      <w:pPr>
        <w:spacing w:beforeLines="50" w:before="120" w:afterLines="50" w:after="120"/>
        <w:jc w:val="both"/>
        <w:rPr>
          <w:kern w:val="2"/>
          <w:sz w:val="20"/>
          <w:szCs w:val="20"/>
        </w:rPr>
      </w:pPr>
      <w:r>
        <w:rPr>
          <w:rFonts w:hint="eastAsia"/>
          <w:kern w:val="2"/>
          <w:sz w:val="20"/>
          <w:szCs w:val="20"/>
        </w:rPr>
        <w:t>P(</w:t>
      </w:r>
      <w:proofErr w:type="spellStart"/>
      <w:r>
        <w:rPr>
          <w:kern w:val="2"/>
          <w:sz w:val="20"/>
          <w:szCs w:val="20"/>
        </w:rPr>
        <w:t>i</w:t>
      </w:r>
      <w:proofErr w:type="spellEnd"/>
      <w:r>
        <w:rPr>
          <w:rFonts w:hint="eastAsia"/>
          <w:kern w:val="2"/>
          <w:sz w:val="20"/>
          <w:szCs w:val="20"/>
        </w:rPr>
        <w:t>)</w:t>
      </w:r>
      <w:r>
        <w:rPr>
          <w:kern w:val="2"/>
          <w:sz w:val="20"/>
          <w:szCs w:val="20"/>
        </w:rPr>
        <w:t xml:space="preserve"> is the power of </w:t>
      </w:r>
      <w:proofErr w:type="spellStart"/>
      <w:r>
        <w:rPr>
          <w:kern w:val="2"/>
          <w:sz w:val="20"/>
          <w:szCs w:val="20"/>
        </w:rPr>
        <w:t>i</w:t>
      </w:r>
      <w:r>
        <w:rPr>
          <w:kern w:val="2"/>
          <w:sz w:val="20"/>
          <w:szCs w:val="20"/>
          <w:vertAlign w:val="superscript"/>
        </w:rPr>
        <w:t>th</w:t>
      </w:r>
      <w:proofErr w:type="spellEnd"/>
      <w:r>
        <w:rPr>
          <w:kern w:val="2"/>
          <w:sz w:val="20"/>
          <w:szCs w:val="20"/>
        </w:rPr>
        <w:t xml:space="preserve"> symbol, and can be calculated according to the scaling factors discussed above.</w:t>
      </w:r>
    </w:p>
    <w:p w:rsidR="0048332A" w:rsidRDefault="008337A7">
      <w:pPr>
        <w:pStyle w:val="ListParagraph"/>
        <w:numPr>
          <w:ilvl w:val="255"/>
          <w:numId w:val="0"/>
        </w:numPr>
        <w:snapToGrid w:val="0"/>
        <w:spacing w:before="181" w:after="181"/>
        <w:rPr>
          <w:rFonts w:ascii="Times New Roman" w:eastAsia="宋体" w:hAnsi="Times New Roman"/>
          <w:i/>
          <w:iCs/>
          <w:kern w:val="2"/>
          <w:lang w:val="en-US"/>
        </w:rPr>
      </w:pPr>
      <w:r>
        <w:rPr>
          <w:rFonts w:ascii="Times New Roman" w:hAnsi="Times New Roman"/>
          <w:b/>
          <w:i/>
          <w:szCs w:val="20"/>
        </w:rPr>
        <w:t>Proposal 3-1-</w:t>
      </w:r>
      <w:r>
        <w:rPr>
          <w:rFonts w:ascii="Times New Roman" w:eastAsia="宋体" w:hAnsi="Times New Roman"/>
          <w:b/>
          <w:i/>
          <w:szCs w:val="20"/>
          <w:lang w:val="en-US"/>
        </w:rPr>
        <w:t>9</w:t>
      </w:r>
      <w:r>
        <w:rPr>
          <w:rFonts w:ascii="Times New Roman" w:hAnsi="Times New Roman"/>
          <w:b/>
          <w:i/>
          <w:szCs w:val="20"/>
        </w:rPr>
        <w:t>:</w:t>
      </w:r>
      <w:r>
        <w:rPr>
          <w:rFonts w:ascii="Times New Roman" w:eastAsia="宋体" w:hAnsi="Times New Roman"/>
          <w:b/>
          <w:i/>
          <w:szCs w:val="20"/>
          <w:lang w:val="en-US"/>
        </w:rPr>
        <w:t xml:space="preserve"> </w:t>
      </w:r>
      <w:r>
        <w:rPr>
          <w:rFonts w:ascii="Times New Roman" w:eastAsia="宋体" w:hAnsi="Times New Roman" w:hint="eastAsia"/>
          <w:i/>
          <w:iCs/>
          <w:kern w:val="2"/>
          <w:lang w:val="en-US"/>
        </w:rPr>
        <w:t>When multiple power states in one slot, the power of the slot can be calculated according to:</w:t>
      </w:r>
    </w:p>
    <w:p w:rsidR="0048332A" w:rsidRDefault="00453965">
      <w:pPr>
        <w:numPr>
          <w:ilvl w:val="1"/>
          <w:numId w:val="7"/>
        </w:numPr>
        <w:tabs>
          <w:tab w:val="left" w:pos="0"/>
        </w:tabs>
        <w:spacing w:beforeLines="50" w:before="120" w:afterLines="50" w:after="120"/>
        <w:rPr>
          <w:i/>
          <w:iCs/>
          <w:kern w:val="2"/>
          <w:sz w:val="20"/>
        </w:rPr>
      </w:pPr>
      <m:oMath>
        <m:sSub>
          <m:sSubPr>
            <m:ctrlPr>
              <w:rPr>
                <w:rFonts w:ascii="Cambria Math" w:hAnsi="Cambria Math" w:hint="eastAsia"/>
              </w:rPr>
            </m:ctrlPr>
          </m:sSubPr>
          <m:e>
            <m:r>
              <w:rPr>
                <w:rFonts w:ascii="Cambria Math" w:hAnsi="Cambria Math" w:hint="eastAsia"/>
              </w:rPr>
              <m:t>P</m:t>
            </m:r>
          </m:e>
          <m:sub>
            <m:r>
              <w:rPr>
                <w:rFonts w:ascii="Cambria Math" w:hAnsi="Cambria Math" w:hint="eastAsia"/>
              </w:rPr>
              <m:t>sum</m:t>
            </m:r>
          </m:sub>
        </m:sSub>
        <m:r>
          <w:rPr>
            <w:rFonts w:ascii="Cambria Math" w:hAnsi="Cambria Math" w:hint="eastAsia"/>
          </w:rPr>
          <m:t>=</m:t>
        </m:r>
        <m:nary>
          <m:naryPr>
            <m:chr m:val="∑"/>
            <m:limLoc m:val="subSup"/>
            <m:ctrlPr>
              <w:rPr>
                <w:rFonts w:ascii="Cambria Math" w:hAnsi="Cambria Math" w:hint="eastAsia"/>
                <w:i/>
              </w:rPr>
            </m:ctrlPr>
          </m:naryPr>
          <m:sub>
            <m:r>
              <w:rPr>
                <w:rFonts w:ascii="Cambria Math" w:hAnsi="Cambria Math" w:hint="eastAsia"/>
              </w:rPr>
              <m:t>i=1</m:t>
            </m:r>
          </m:sub>
          <m:sup>
            <m:r>
              <w:rPr>
                <w:rFonts w:ascii="Cambria Math" w:hAnsi="Cambria Math" w:hint="eastAsia"/>
              </w:rPr>
              <m:t>14</m:t>
            </m:r>
          </m:sup>
          <m:e>
            <m:r>
              <w:rPr>
                <w:rFonts w:ascii="Cambria Math" w:hAnsi="Cambria Math" w:hint="eastAsia"/>
              </w:rPr>
              <m:t>P(i)</m:t>
            </m:r>
          </m:e>
        </m:nary>
      </m:oMath>
    </w:p>
    <w:p w:rsidR="0048332A" w:rsidRDefault="008337A7">
      <w:pPr>
        <w:numPr>
          <w:ilvl w:val="1"/>
          <w:numId w:val="7"/>
        </w:numPr>
        <w:tabs>
          <w:tab w:val="left" w:pos="0"/>
        </w:tabs>
        <w:spacing w:beforeLines="50" w:before="120" w:afterLines="50" w:after="120"/>
        <w:rPr>
          <w:i/>
          <w:iCs/>
          <w:kern w:val="2"/>
          <w:sz w:val="20"/>
        </w:rPr>
      </w:pPr>
      <w:r>
        <w:rPr>
          <w:rFonts w:hint="eastAsia"/>
          <w:i/>
          <w:iCs/>
          <w:kern w:val="2"/>
          <w:sz w:val="20"/>
        </w:rPr>
        <w:t>Wherein, P(</w:t>
      </w:r>
      <w:proofErr w:type="spellStart"/>
      <w:r>
        <w:rPr>
          <w:rFonts w:hint="eastAsia"/>
          <w:i/>
          <w:iCs/>
          <w:kern w:val="2"/>
          <w:sz w:val="20"/>
        </w:rPr>
        <w:t>i</w:t>
      </w:r>
      <w:proofErr w:type="spellEnd"/>
      <w:r>
        <w:rPr>
          <w:rFonts w:hint="eastAsia"/>
          <w:i/>
          <w:iCs/>
          <w:kern w:val="2"/>
          <w:sz w:val="20"/>
        </w:rPr>
        <w:t xml:space="preserve">) is the power of </w:t>
      </w:r>
      <w:proofErr w:type="spellStart"/>
      <w:r>
        <w:rPr>
          <w:rFonts w:hint="eastAsia"/>
          <w:i/>
          <w:iCs/>
          <w:kern w:val="2"/>
          <w:sz w:val="20"/>
        </w:rPr>
        <w:t>ith</w:t>
      </w:r>
      <w:proofErr w:type="spellEnd"/>
      <w:r>
        <w:rPr>
          <w:rFonts w:hint="eastAsia"/>
          <w:i/>
          <w:iCs/>
          <w:kern w:val="2"/>
          <w:sz w:val="20"/>
        </w:rPr>
        <w:t xml:space="preserve"> symbol.</w:t>
      </w:r>
    </w:p>
    <w:p w:rsidR="0048332A" w:rsidRDefault="008337A7">
      <w:pPr>
        <w:pStyle w:val="YJ-Proposal"/>
        <w:numPr>
          <w:ilvl w:val="255"/>
          <w:numId w:val="0"/>
        </w:numPr>
        <w:spacing w:before="120" w:after="120" w:line="240" w:lineRule="auto"/>
        <w:jc w:val="both"/>
      </w:pPr>
      <w:r>
        <w:rPr>
          <w:rFonts w:eastAsia="宋体"/>
          <w:u w:val="single"/>
          <w:lang w:val="en-US" w:eastAsia="zh-CN"/>
        </w:rPr>
        <w:t>CA</w:t>
      </w:r>
    </w:p>
    <w:p w:rsidR="0048332A" w:rsidRDefault="008337A7">
      <w:pPr>
        <w:pStyle w:val="YJ-Proposal"/>
        <w:numPr>
          <w:ilvl w:val="255"/>
          <w:numId w:val="0"/>
        </w:numPr>
        <w:spacing w:before="120" w:after="120" w:line="240" w:lineRule="auto"/>
        <w:jc w:val="both"/>
        <w:rPr>
          <w:b w:val="0"/>
          <w:bCs w:val="0"/>
          <w:i w:val="0"/>
          <w:iCs w:val="0"/>
        </w:rPr>
      </w:pPr>
      <w:r>
        <w:rPr>
          <w:rFonts w:hint="eastAsia"/>
          <w:b w:val="0"/>
          <w:bCs w:val="0"/>
          <w:i w:val="0"/>
          <w:iCs w:val="0"/>
        </w:rPr>
        <w:t>For CA scenario, some baseband processing blocks may be shared among multiple carriers, and the configuration</w:t>
      </w:r>
      <w:r>
        <w:rPr>
          <w:b w:val="0"/>
          <w:bCs w:val="0"/>
          <w:i w:val="0"/>
          <w:iCs w:val="0"/>
        </w:rPr>
        <w:t xml:space="preserve"> </w:t>
      </w:r>
      <w:r>
        <w:rPr>
          <w:rFonts w:hint="eastAsia"/>
          <w:b w:val="0"/>
          <w:bCs w:val="0"/>
          <w:i w:val="0"/>
          <w:iCs w:val="0"/>
        </w:rPr>
        <w:t>(e.g., SCS, bandwidth) of these carriers may vary. Thus, the total power consumption of multiple carriers consists of a single static power component (shared across carriers) plus multiple dynamic power components (specific to individual carriers). And the power of micro sleep can be considered as static power component. However, if processing blocks are fully separated for all carriers, the total power consumption is calculated by the sum of the power values of each individual carrier.</w:t>
      </w:r>
    </w:p>
    <w:p w:rsidR="0048332A" w:rsidRDefault="008337A7">
      <w:pPr>
        <w:pStyle w:val="YJ-Proposal"/>
        <w:numPr>
          <w:ilvl w:val="255"/>
          <w:numId w:val="0"/>
        </w:numPr>
        <w:spacing w:before="120" w:after="120" w:line="240" w:lineRule="auto"/>
        <w:jc w:val="both"/>
        <w:rPr>
          <w:b w:val="0"/>
          <w:bCs w:val="0"/>
          <w:i w:val="0"/>
          <w:iCs w:val="0"/>
        </w:rPr>
      </w:pPr>
      <w:r>
        <w:rPr>
          <w:rFonts w:hint="eastAsia"/>
          <w:b w:val="0"/>
          <w:bCs w:val="0"/>
          <w:i w:val="0"/>
          <w:iCs w:val="0"/>
        </w:rPr>
        <w:t>When summing up the power consumption of multiple carriers, it is essential to ensure the values correspond to the same time interval. To achieve this, one slot with a smallest SCS can be used as reference time interval.</w:t>
      </w:r>
    </w:p>
    <w:p w:rsidR="0048332A" w:rsidRDefault="008337A7">
      <w:pPr>
        <w:pStyle w:val="ListParagraph"/>
        <w:numPr>
          <w:ilvl w:val="255"/>
          <w:numId w:val="0"/>
        </w:numPr>
        <w:snapToGrid w:val="0"/>
        <w:spacing w:before="181" w:after="181"/>
        <w:rPr>
          <w:rFonts w:ascii="Times New Roman" w:hAnsi="Times New Roman"/>
          <w:i/>
          <w:iCs/>
          <w:lang w:val="en-US"/>
        </w:rPr>
      </w:pPr>
      <w:r>
        <w:rPr>
          <w:rFonts w:ascii="Times New Roman" w:hAnsi="Times New Roman"/>
          <w:b/>
          <w:i/>
          <w:szCs w:val="20"/>
        </w:rPr>
        <w:t>Proposal 3-1-</w:t>
      </w:r>
      <w:r>
        <w:rPr>
          <w:rFonts w:ascii="Times New Roman" w:eastAsia="宋体" w:hAnsi="Times New Roman"/>
          <w:b/>
          <w:i/>
          <w:szCs w:val="20"/>
          <w:lang w:val="en-US"/>
        </w:rPr>
        <w:t>10</w:t>
      </w:r>
      <w:r>
        <w:rPr>
          <w:rFonts w:ascii="Times New Roman" w:hAnsi="Times New Roman"/>
          <w:b/>
          <w:i/>
          <w:szCs w:val="20"/>
        </w:rPr>
        <w:t>:</w:t>
      </w:r>
      <w:r>
        <w:rPr>
          <w:rFonts w:ascii="Times New Roman" w:eastAsia="宋体" w:hAnsi="Times New Roman"/>
          <w:b/>
          <w:i/>
          <w:szCs w:val="20"/>
          <w:lang w:val="en-US"/>
        </w:rPr>
        <w:t xml:space="preserve"> </w:t>
      </w:r>
      <w:r>
        <w:rPr>
          <w:rFonts w:ascii="Times New Roman" w:hAnsi="Times New Roman"/>
          <w:i/>
          <w:iCs/>
          <w:lang w:val="en-US"/>
        </w:rPr>
        <w:t>For downlink power states, the power for intra-band CA scenario is determined according to:</w:t>
      </w:r>
    </w:p>
    <w:p w:rsidR="0048332A" w:rsidRDefault="00453965">
      <w:pPr>
        <w:pStyle w:val="YJ-Proposal"/>
        <w:numPr>
          <w:ilvl w:val="1"/>
          <w:numId w:val="7"/>
        </w:numPr>
        <w:spacing w:before="120" w:after="120" w:line="240" w:lineRule="auto"/>
        <w:rPr>
          <w:b w:val="0"/>
          <w:bCs w:val="0"/>
          <w:lang w:val="en-US" w:eastAsia="zh-CN"/>
        </w:rPr>
      </w:pPr>
      <m:oMath>
        <m:sSub>
          <m:sSubPr>
            <m:ctrlPr>
              <w:rPr>
                <w:rFonts w:ascii="Cambria Math" w:hAnsi="Cambria Math"/>
                <w:b w:val="0"/>
                <w:bCs w:val="0"/>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=Pmicrosleep+</m:t>
        </m:r>
        <m:nary>
          <m:naryPr>
            <m:chr m:val="∑"/>
            <m:limLoc m:val="subSup"/>
            <m:ctrlPr>
              <w:rPr>
                <w:rFonts w:ascii="Cambria Math" w:hAnsi="Cambria Math"/>
                <w:b w:val="0"/>
                <w:bCs w:val="0"/>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d>
              <m:dPr>
                <m:ctrlPr>
                  <w:rPr>
                    <w:rFonts w:ascii="Cambria Math" w:hAnsi="Cambria Math"/>
                    <w:b w:val="0"/>
                    <w:bCs w:val="0"/>
                    <w:lang w:val="en-US" w:eastAsia="zh-CN"/>
                  </w:rPr>
                </m:ctrlPr>
              </m:dPr>
              <m:e>
                <m:r>
                  <m:rPr>
                    <m:sty m:val="bi"/>
                  </m:rPr>
                  <w:rPr>
                    <w:rFonts w:ascii="Cambria Math" w:hAnsi="Cambria Math"/>
                    <w:lang w:val="en-US" w:eastAsia="zh-CN"/>
                  </w:rPr>
                  <m:t>P(i)-Pmicrosleep</m:t>
                </m:r>
              </m:e>
            </m:d>
          </m:e>
        </m:nary>
      </m:oMath>
      <w:r w:rsidR="008337A7">
        <w:rPr>
          <w:rFonts w:hint="eastAsia"/>
          <w:b w:val="0"/>
          <w:bCs w:val="0"/>
          <w:lang w:val="en-US" w:eastAsia="zh-CN"/>
        </w:rPr>
        <w:t xml:space="preserve"> for intra-band CA</w:t>
      </w:r>
    </w:p>
    <w:p w:rsidR="0048332A" w:rsidRDefault="00453965">
      <w:pPr>
        <w:pStyle w:val="YJ-Proposal"/>
        <w:numPr>
          <w:ilvl w:val="1"/>
          <w:numId w:val="7"/>
        </w:numPr>
        <w:spacing w:before="120" w:after="120" w:line="240" w:lineRule="auto"/>
        <w:rPr>
          <w:b w:val="0"/>
          <w:bCs w:val="0"/>
          <w:lang w:val="en-US" w:eastAsia="zh-CN"/>
        </w:rPr>
      </w:pPr>
      <m:oMath>
        <m:sSub>
          <m:sSubPr>
            <m:ctrlPr>
              <w:rPr>
                <w:rFonts w:ascii="Cambria Math" w:hAnsi="Cambria Math"/>
                <w:b w:val="0"/>
                <w:bCs w:val="0"/>
                <w:lang w:val="en-US" w:eastAsia="zh-CN"/>
              </w:rPr>
            </m:ctrlPr>
          </m:sSubPr>
          <m:e>
            <m:r>
              <m:rPr>
                <m:sty m:val="bi"/>
              </m:rPr>
              <w:rPr>
                <w:rFonts w:ascii="Cambria Math" w:hAnsi="Cambria Math"/>
                <w:lang w:val="en-US" w:eastAsia="zh-CN"/>
              </w:rPr>
              <m:t>P</m:t>
            </m:r>
          </m:e>
          <m:sub>
            <m:r>
              <m:rPr>
                <m:sty m:val="bi"/>
              </m:rPr>
              <w:rPr>
                <w:rFonts w:ascii="Cambria Math" w:hAnsi="Cambria Math"/>
                <w:lang w:val="en-US" w:eastAsia="zh-CN"/>
              </w:rPr>
              <m:t>sum</m:t>
            </m:r>
          </m:sub>
        </m:sSub>
        <m:r>
          <m:rPr>
            <m:sty m:val="bi"/>
          </m:rPr>
          <w:rPr>
            <w:rFonts w:ascii="Cambria Math" w:hAnsi="Cambria Math"/>
            <w:lang w:val="en-US" w:eastAsia="zh-CN"/>
          </w:rPr>
          <m:t>=</m:t>
        </m:r>
        <m:nary>
          <m:naryPr>
            <m:chr m:val="∑"/>
            <m:limLoc m:val="subSup"/>
            <m:ctrlPr>
              <w:rPr>
                <w:rFonts w:ascii="Cambria Math" w:hAnsi="Cambria Math"/>
                <w:b w:val="0"/>
                <w:bCs w:val="0"/>
                <w:lang w:val="en-US" w:eastAsia="zh-CN"/>
              </w:rPr>
            </m:ctrlPr>
          </m:naryPr>
          <m:sub>
            <m:r>
              <m:rPr>
                <m:sty m:val="bi"/>
              </m:rPr>
              <w:rPr>
                <w:rFonts w:ascii="Cambria Math" w:hAnsi="Cambria Math"/>
                <w:lang w:val="en-US" w:eastAsia="zh-CN"/>
              </w:rPr>
              <m:t>i=1</m:t>
            </m:r>
          </m:sub>
          <m:sup>
            <m:r>
              <m:rPr>
                <m:sty m:val="bi"/>
              </m:rPr>
              <w:rPr>
                <w:rFonts w:ascii="Cambria Math" w:hAnsi="Cambria Math"/>
                <w:lang w:val="en-US" w:eastAsia="zh-CN"/>
              </w:rPr>
              <m:t>CA_num</m:t>
            </m:r>
          </m:sup>
          <m:e>
            <m:r>
              <m:rPr>
                <m:sty m:val="bi"/>
              </m:rPr>
              <w:rPr>
                <w:rFonts w:ascii="Cambria Math" w:hAnsi="Cambria Math"/>
                <w:lang w:val="en-US" w:eastAsia="zh-CN"/>
              </w:rPr>
              <m:t>P(i)</m:t>
            </m:r>
          </m:e>
        </m:nary>
      </m:oMath>
      <w:r w:rsidR="008337A7">
        <w:rPr>
          <w:rFonts w:hint="eastAsia"/>
          <w:b w:val="0"/>
          <w:bCs w:val="0"/>
          <w:lang w:val="en-US" w:eastAsia="zh-CN"/>
        </w:rPr>
        <w:t xml:space="preserve"> for inter-band CA</w:t>
      </w:r>
    </w:p>
    <w:p w:rsidR="0048332A" w:rsidRDefault="008337A7">
      <w:pPr>
        <w:pStyle w:val="YJ-Proposal"/>
        <w:numPr>
          <w:ilvl w:val="1"/>
          <w:numId w:val="7"/>
        </w:numPr>
        <w:spacing w:before="120" w:after="120" w:line="240" w:lineRule="auto"/>
        <w:rPr>
          <w:b w:val="0"/>
          <w:bCs w:val="0"/>
          <w:lang w:val="en-US" w:eastAsia="zh-CN"/>
        </w:rPr>
      </w:pPr>
      <w:r>
        <w:rPr>
          <w:b w:val="0"/>
          <w:bCs w:val="0"/>
          <w:lang w:val="en-US" w:eastAsia="zh-CN"/>
        </w:rPr>
        <w:t>Wherein</w:t>
      </w:r>
      <w:r>
        <w:rPr>
          <w:rFonts w:hint="eastAsia"/>
          <w:b w:val="0"/>
          <w:bCs w:val="0"/>
          <w:lang w:val="en-US" w:eastAsia="zh-CN"/>
        </w:rPr>
        <w:t xml:space="preserve">, </w:t>
      </w:r>
      <w:proofErr w:type="spellStart"/>
      <w:r>
        <w:rPr>
          <w:rFonts w:hint="eastAsia"/>
          <w:b w:val="0"/>
          <w:bCs w:val="0"/>
          <w:lang w:val="en-US" w:eastAsia="zh-CN"/>
        </w:rPr>
        <w:t>CA_num</w:t>
      </w:r>
      <w:proofErr w:type="spellEnd"/>
      <w:r>
        <w:rPr>
          <w:rFonts w:hint="eastAsia"/>
          <w:b w:val="0"/>
          <w:bCs w:val="0"/>
          <w:lang w:val="en-US" w:eastAsia="zh-CN"/>
        </w:rPr>
        <w:t xml:space="preserve"> is the number of carriers in CA scenario, P(</w:t>
      </w:r>
      <w:proofErr w:type="spellStart"/>
      <w:r>
        <w:rPr>
          <w:rFonts w:hint="eastAsia"/>
          <w:b w:val="0"/>
          <w:bCs w:val="0"/>
          <w:lang w:val="en-US" w:eastAsia="zh-CN"/>
        </w:rPr>
        <w:t>i</w:t>
      </w:r>
      <w:proofErr w:type="spellEnd"/>
      <w:r>
        <w:rPr>
          <w:rFonts w:hint="eastAsia"/>
          <w:b w:val="0"/>
          <w:bCs w:val="0"/>
          <w:lang w:val="en-US" w:eastAsia="zh-CN"/>
        </w:rPr>
        <w:t xml:space="preserve">) is total power in a time interval of carrier </w:t>
      </w:r>
      <w:proofErr w:type="spellStart"/>
      <w:r>
        <w:rPr>
          <w:rFonts w:hint="eastAsia"/>
          <w:b w:val="0"/>
          <w:bCs w:val="0"/>
          <w:lang w:val="en-US" w:eastAsia="zh-CN"/>
        </w:rPr>
        <w:t>i</w:t>
      </w:r>
      <w:proofErr w:type="spellEnd"/>
      <w:r>
        <w:rPr>
          <w:rFonts w:hint="eastAsia"/>
          <w:b w:val="0"/>
          <w:bCs w:val="0"/>
          <w:lang w:val="en-US" w:eastAsia="zh-CN"/>
        </w:rPr>
        <w:t>. Time interval is one slot with a smallest SCS.</w:t>
      </w:r>
    </w:p>
    <w:p w:rsidR="0048332A" w:rsidRDefault="008337A7">
      <w:pPr>
        <w:pStyle w:val="ListParagraph"/>
        <w:numPr>
          <w:ilvl w:val="255"/>
          <w:numId w:val="0"/>
        </w:numPr>
        <w:spacing w:beforeLines="50" w:before="120" w:afterLines="50" w:after="120"/>
        <w:rPr>
          <w:rFonts w:ascii="Times New Roman" w:eastAsia="宋体" w:hAnsi="Times New Roman"/>
          <w:b/>
          <w:bCs/>
          <w:szCs w:val="20"/>
          <w:u w:val="single"/>
          <w:lang w:val="en-US"/>
        </w:rPr>
      </w:pPr>
      <w:r>
        <w:rPr>
          <w:rFonts w:ascii="Times New Roman" w:eastAsia="宋体" w:hAnsi="Times New Roman"/>
          <w:b/>
          <w:bCs/>
          <w:szCs w:val="20"/>
          <w:u w:val="single"/>
        </w:rPr>
        <w:t>Scaling on micro sleep power state</w:t>
      </w:r>
    </w:p>
    <w:p w:rsidR="0048332A" w:rsidRDefault="008337A7">
      <w:pPr>
        <w:spacing w:beforeLines="50" w:before="120" w:afterLines="50" w:after="120"/>
        <w:jc w:val="both"/>
        <w:rPr>
          <w:sz w:val="20"/>
        </w:rPr>
      </w:pPr>
      <w:r>
        <w:rPr>
          <w:sz w:val="20"/>
        </w:rPr>
        <w:t>I</w:t>
      </w:r>
      <w:r>
        <w:rPr>
          <w:rFonts w:hint="eastAsia"/>
          <w:sz w:val="20"/>
        </w:rPr>
        <w:t xml:space="preserve">n </w:t>
      </w:r>
      <w:r>
        <w:rPr>
          <w:sz w:val="20"/>
        </w:rPr>
        <w:t xml:space="preserve">38.840, </w:t>
      </w:r>
      <w:r>
        <w:rPr>
          <w:rFonts w:hint="eastAsia"/>
          <w:sz w:val="20"/>
        </w:rPr>
        <w:t xml:space="preserve">the </w:t>
      </w:r>
      <w:r>
        <w:rPr>
          <w:sz w:val="20"/>
        </w:rPr>
        <w:t xml:space="preserve">scaling </w:t>
      </w:r>
      <w:r>
        <w:rPr>
          <w:rFonts w:hint="eastAsia"/>
          <w:sz w:val="20"/>
        </w:rPr>
        <w:t xml:space="preserve">factors in antenna/frequency domain are not applicable to any sleep state. However, during the Rel-17 </w:t>
      </w:r>
      <w:proofErr w:type="spellStart"/>
      <w:r>
        <w:rPr>
          <w:rFonts w:hint="eastAsia"/>
          <w:sz w:val="20"/>
        </w:rPr>
        <w:t>RedCap</w:t>
      </w:r>
      <w:proofErr w:type="spellEnd"/>
      <w:r>
        <w:rPr>
          <w:rFonts w:hint="eastAsia"/>
          <w:sz w:val="20"/>
        </w:rPr>
        <w:t xml:space="preserve"> discussions, the reduced RF bandwidth of </w:t>
      </w:r>
      <w:proofErr w:type="spellStart"/>
      <w:r>
        <w:rPr>
          <w:rFonts w:hint="eastAsia"/>
          <w:sz w:val="20"/>
        </w:rPr>
        <w:t>RedCap</w:t>
      </w:r>
      <w:proofErr w:type="spellEnd"/>
      <w:r>
        <w:rPr>
          <w:rFonts w:hint="eastAsia"/>
          <w:sz w:val="20"/>
        </w:rPr>
        <w:t xml:space="preserve"> UEs (from 100 MHz to 20 MHz) and its impact on power values of sleep states is considered. Since 6GR aims to support diverse device types from Day1, the minimum bandwidth may be 5MHz for IoT devices, while much larger bandwidths will be required for normal and advanced UEs. The impact of diverse device types on power model can be discussed. </w:t>
      </w:r>
    </w:p>
    <w:p w:rsidR="0048332A" w:rsidRDefault="008337A7">
      <w:pPr>
        <w:pStyle w:val="ListParagraph"/>
        <w:numPr>
          <w:ilvl w:val="255"/>
          <w:numId w:val="0"/>
        </w:numPr>
        <w:spacing w:beforeLines="50" w:before="120" w:afterLines="50" w:after="120"/>
        <w:rPr>
          <w:rFonts w:ascii="Times New Roman" w:eastAsia="宋体" w:hAnsi="Times New Roman"/>
          <w:b/>
          <w:bCs/>
          <w:szCs w:val="20"/>
          <w:u w:val="single"/>
        </w:rPr>
      </w:pPr>
      <w:r>
        <w:rPr>
          <w:rFonts w:ascii="Times New Roman" w:eastAsia="宋体" w:hAnsi="Times New Roman"/>
          <w:b/>
          <w:bCs/>
          <w:szCs w:val="20"/>
          <w:u w:val="single"/>
          <w:lang w:val="en-US"/>
        </w:rPr>
        <w:t xml:space="preserve">FFS: </w:t>
      </w:r>
      <w:r>
        <w:rPr>
          <w:rFonts w:ascii="Times New Roman" w:eastAsia="宋体" w:hAnsi="Times New Roman"/>
          <w:b/>
          <w:bCs/>
          <w:szCs w:val="20"/>
          <w:u w:val="single"/>
        </w:rPr>
        <w:t>Processing relaxing scaling</w:t>
      </w:r>
    </w:p>
    <w:p w:rsidR="0048332A" w:rsidRDefault="008337A7">
      <w:pPr>
        <w:spacing w:beforeLines="50" w:before="120" w:afterLines="50" w:after="120"/>
        <w:jc w:val="both"/>
        <w:rPr>
          <w:sz w:val="20"/>
        </w:rPr>
      </w:pPr>
      <w:r>
        <w:rPr>
          <w:sz w:val="20"/>
        </w:rPr>
        <w:t>I</w:t>
      </w:r>
      <w:r>
        <w:rPr>
          <w:rFonts w:hint="eastAsia"/>
          <w:sz w:val="20"/>
        </w:rPr>
        <w:t xml:space="preserve">n </w:t>
      </w:r>
      <w:r>
        <w:rPr>
          <w:sz w:val="20"/>
        </w:rPr>
        <w:t>38.840, the power model of processing relaxing was not discussed. In TR 38.875</w:t>
      </w:r>
      <w:r>
        <w:rPr>
          <w:rFonts w:hint="eastAsia"/>
          <w:sz w:val="20"/>
        </w:rPr>
        <w:t>, the processing timeline relaxation was discussed to reduce the complexity and cost for Redcap UEs.</w:t>
      </w:r>
      <w:r>
        <w:rPr>
          <w:sz w:val="20"/>
        </w:rPr>
        <w:t xml:space="preserve"> </w:t>
      </w:r>
      <w:r>
        <w:rPr>
          <w:rFonts w:hint="eastAsia"/>
          <w:sz w:val="20"/>
        </w:rPr>
        <w:t>I</w:t>
      </w:r>
      <w:r>
        <w:rPr>
          <w:sz w:val="20"/>
        </w:rPr>
        <w:t xml:space="preserve">t </w:t>
      </w:r>
      <w:r>
        <w:rPr>
          <w:rFonts w:hint="eastAsia"/>
          <w:sz w:val="20"/>
        </w:rPr>
        <w:t xml:space="preserve">was </w:t>
      </w:r>
      <w:r>
        <w:rPr>
          <w:sz w:val="20"/>
        </w:rPr>
        <w:t xml:space="preserve">observed that </w:t>
      </w:r>
      <w:r>
        <w:rPr>
          <w:rFonts w:hint="eastAsia"/>
          <w:sz w:val="20"/>
        </w:rPr>
        <w:t>r</w:t>
      </w:r>
      <w:r>
        <w:rPr>
          <w:sz w:val="20"/>
        </w:rPr>
        <w:t xml:space="preserve">elaxed UE processing time in terms of N1 and N2 potentially reduces UE complexity by allowing a longer time for the processing of PDCCH and </w:t>
      </w:r>
      <w:r>
        <w:rPr>
          <w:sz w:val="20"/>
        </w:rPr>
        <w:lastRenderedPageBreak/>
        <w:t xml:space="preserve">PDSCH and preparing PUSCH and PUCCH. By comparing Table 7.5.2-1 with the reference NR device cost breakdown in clause 6.1, it can be </w:t>
      </w:r>
      <w:r>
        <w:rPr>
          <w:rFonts w:hint="eastAsia"/>
          <w:sz w:val="20"/>
        </w:rPr>
        <w:t xml:space="preserve">further </w:t>
      </w:r>
      <w:r>
        <w:rPr>
          <w:sz w:val="20"/>
        </w:rPr>
        <w:t xml:space="preserve">observed that the cost of the following functional blocks can be reduced: </w:t>
      </w:r>
      <w:r>
        <w:rPr>
          <w:rFonts w:hint="eastAsia"/>
          <w:sz w:val="20"/>
        </w:rPr>
        <w:t>r</w:t>
      </w:r>
      <w:r>
        <w:rPr>
          <w:sz w:val="20"/>
        </w:rPr>
        <w:t>eceiver processing block, LDPC decoding, DL control processing</w:t>
      </w:r>
      <w:r>
        <w:rPr>
          <w:rFonts w:hint="eastAsia"/>
          <w:sz w:val="20"/>
        </w:rPr>
        <w:t>/</w:t>
      </w:r>
      <w:r>
        <w:rPr>
          <w:sz w:val="20"/>
        </w:rPr>
        <w:t xml:space="preserve">decoder, </w:t>
      </w:r>
      <w:r>
        <w:rPr>
          <w:rFonts w:hint="eastAsia"/>
          <w:sz w:val="20"/>
        </w:rPr>
        <w:t xml:space="preserve">and </w:t>
      </w:r>
      <w:r>
        <w:rPr>
          <w:sz w:val="20"/>
        </w:rPr>
        <w:t>UL processing block</w:t>
      </w:r>
      <w:r>
        <w:rPr>
          <w:rFonts w:hint="eastAsia"/>
          <w:sz w:val="20"/>
        </w:rPr>
        <w:t xml:space="preserve">. And processing relaxing was specified for Rel-18 </w:t>
      </w:r>
      <w:proofErr w:type="spellStart"/>
      <w:r>
        <w:rPr>
          <w:rFonts w:hint="eastAsia"/>
          <w:sz w:val="20"/>
        </w:rPr>
        <w:t>eRedcap</w:t>
      </w:r>
      <w:proofErr w:type="spellEnd"/>
      <w:r>
        <w:rPr>
          <w:rFonts w:hint="eastAsia"/>
          <w:sz w:val="20"/>
        </w:rPr>
        <w:t>. In 6G, w</w:t>
      </w:r>
      <w:r>
        <w:rPr>
          <w:sz w:val="20"/>
        </w:rPr>
        <w:t>hether and how to scale the power of power states with different processing timeline should be further discussed.</w:t>
      </w:r>
    </w:p>
    <w:p w:rsidR="0048332A" w:rsidRDefault="008337A7">
      <w:pPr>
        <w:pStyle w:val="ListParagraph"/>
        <w:numPr>
          <w:ilvl w:val="255"/>
          <w:numId w:val="0"/>
        </w:numPr>
        <w:snapToGrid w:val="0"/>
        <w:spacing w:before="181" w:after="181"/>
        <w:rPr>
          <w:rFonts w:ascii="Times New Roman" w:eastAsiaTheme="minorEastAsia" w:hAnsi="Times New Roman"/>
          <w:szCs w:val="20"/>
          <w:lang w:val="en-US"/>
        </w:rPr>
      </w:pPr>
      <w:r>
        <w:rPr>
          <w:rFonts w:ascii="Times New Roman" w:hAnsi="Times New Roman"/>
          <w:b/>
          <w:i/>
          <w:szCs w:val="20"/>
        </w:rPr>
        <w:t>Proposal 3-1-</w:t>
      </w:r>
      <w:r>
        <w:rPr>
          <w:rFonts w:ascii="Times New Roman" w:eastAsia="宋体" w:hAnsi="Times New Roman"/>
          <w:b/>
          <w:i/>
          <w:szCs w:val="20"/>
          <w:lang w:val="en-US"/>
        </w:rPr>
        <w:t>11</w:t>
      </w:r>
      <w:r>
        <w:rPr>
          <w:rFonts w:ascii="Times New Roman" w:hAnsi="Times New Roman"/>
          <w:b/>
          <w:i/>
          <w:szCs w:val="20"/>
        </w:rPr>
        <w:t>:</w:t>
      </w:r>
      <w:r>
        <w:rPr>
          <w:rFonts w:ascii="Times New Roman" w:eastAsia="宋体" w:hAnsi="Times New Roman"/>
          <w:b/>
          <w:i/>
          <w:szCs w:val="20"/>
          <w:lang w:val="en-US"/>
        </w:rPr>
        <w:t xml:space="preserve"> </w:t>
      </w:r>
      <w:r>
        <w:rPr>
          <w:rFonts w:ascii="Times New Roman" w:hAnsi="Times New Roman"/>
          <w:szCs w:val="20"/>
          <w:lang w:val="en-US"/>
        </w:rPr>
        <w:t>For the scaling of UE power model, further study the following aspects:</w:t>
      </w:r>
    </w:p>
    <w:p w:rsidR="0048332A" w:rsidRDefault="008337A7">
      <w:pPr>
        <w:pStyle w:val="YJ-Proposal"/>
        <w:numPr>
          <w:ilvl w:val="1"/>
          <w:numId w:val="7"/>
        </w:numPr>
        <w:spacing w:before="120" w:after="120" w:line="240" w:lineRule="auto"/>
        <w:rPr>
          <w:b w:val="0"/>
          <w:bCs w:val="0"/>
          <w:lang w:val="en-US" w:eastAsia="zh-CN"/>
        </w:rPr>
      </w:pPr>
      <w:r>
        <w:rPr>
          <w:b w:val="0"/>
          <w:bCs w:val="0"/>
          <w:lang w:val="en-US" w:eastAsia="zh-CN"/>
        </w:rPr>
        <w:t>Whether or not to consider the impact of diverse device type</w:t>
      </w:r>
    </w:p>
    <w:p w:rsidR="0048332A" w:rsidRDefault="008337A7">
      <w:pPr>
        <w:pStyle w:val="YJ-Proposal"/>
        <w:numPr>
          <w:ilvl w:val="1"/>
          <w:numId w:val="7"/>
        </w:numPr>
        <w:spacing w:before="120" w:after="120" w:line="240" w:lineRule="auto"/>
        <w:rPr>
          <w:b w:val="0"/>
          <w:bCs w:val="0"/>
          <w:lang w:val="en-US" w:eastAsia="zh-CN"/>
        </w:rPr>
      </w:pPr>
      <w:r>
        <w:rPr>
          <w:b w:val="0"/>
          <w:bCs w:val="0"/>
          <w:lang w:val="en-US" w:eastAsia="zh-CN"/>
        </w:rPr>
        <w:t>Whether or not apply scaling on processing timeline</w:t>
      </w:r>
    </w:p>
    <w:p w:rsidR="0048332A" w:rsidRDefault="008337A7">
      <w:pPr>
        <w:pStyle w:val="YJ-Proposal"/>
        <w:numPr>
          <w:ilvl w:val="1"/>
          <w:numId w:val="7"/>
        </w:numPr>
        <w:spacing w:before="120" w:after="120" w:line="240" w:lineRule="auto"/>
        <w:rPr>
          <w:b w:val="0"/>
          <w:bCs w:val="0"/>
          <w:lang w:val="en-US" w:eastAsia="zh-CN"/>
        </w:rPr>
      </w:pPr>
      <w:r>
        <w:rPr>
          <w:b w:val="0"/>
          <w:bCs w:val="0"/>
          <w:lang w:val="en-US" w:eastAsia="zh-CN"/>
        </w:rPr>
        <w:t>Power model with AI</w:t>
      </w:r>
    </w:p>
    <w:p w:rsidR="0048332A" w:rsidRDefault="008337A7">
      <w:pPr>
        <w:pStyle w:val="Heading4"/>
        <w:tabs>
          <w:tab w:val="left" w:pos="720"/>
        </w:tabs>
        <w:snapToGrid w:val="0"/>
        <w:spacing w:before="240" w:afterLines="50" w:after="120"/>
        <w:jc w:val="both"/>
        <w:rPr>
          <w:b/>
          <w:sz w:val="22"/>
        </w:rPr>
      </w:pPr>
      <w:r>
        <w:rPr>
          <w:rFonts w:hint="eastAsia"/>
          <w:b/>
          <w:sz w:val="22"/>
        </w:rPr>
        <w:t>3.1.1.2 AI</w:t>
      </w:r>
      <w:r>
        <w:rPr>
          <w:b/>
          <w:sz w:val="22"/>
        </w:rPr>
        <w:t xml:space="preserve"> power consumption model</w:t>
      </w:r>
    </w:p>
    <w:p w:rsidR="0048332A" w:rsidRDefault="008337A7">
      <w:pPr>
        <w:spacing w:beforeLines="50" w:before="120" w:afterLines="50" w:after="120"/>
        <w:jc w:val="both"/>
        <w:rPr>
          <w:sz w:val="20"/>
          <w:szCs w:val="20"/>
          <w:lang w:val="en-GB"/>
        </w:rPr>
      </w:pPr>
      <w:r>
        <w:rPr>
          <w:sz w:val="20"/>
          <w:szCs w:val="20"/>
          <w:lang w:val="en-GB"/>
        </w:rPr>
        <w:t xml:space="preserve">AI is a promising tool to increase the system performance. However, the hardware for AI itself (e.g., GPU) will incur obvious power consumption. The power consumption should be a key metric to justify whether an AI/ML use case is proceeded to normative work or not. However, measuring the power consumption of AI models in an integrated system can be </w:t>
      </w:r>
      <w:r>
        <w:rPr>
          <w:sz w:val="20"/>
          <w:szCs w:val="20"/>
        </w:rPr>
        <w:t>challenging</w:t>
      </w:r>
      <w:r>
        <w:rPr>
          <w:sz w:val="20"/>
          <w:szCs w:val="20"/>
          <w:lang w:val="en-GB"/>
        </w:rPr>
        <w:t>, as it's often not straightforward to isolate the power consumption of AI from the rest of the system. In such cases, simplifying assumptions or using proxies for power consumption can make the metrics more measurable.</w:t>
      </w:r>
    </w:p>
    <w:p w:rsidR="0048332A" w:rsidRDefault="008337A7">
      <w:pPr>
        <w:spacing w:beforeLines="50" w:before="120" w:afterLines="50" w:after="120"/>
        <w:jc w:val="both"/>
        <w:rPr>
          <w:sz w:val="20"/>
          <w:szCs w:val="20"/>
          <w:lang w:val="en-GB"/>
        </w:rPr>
      </w:pPr>
      <w:r>
        <w:rPr>
          <w:sz w:val="20"/>
          <w:szCs w:val="20"/>
          <w:lang w:val="en-GB"/>
        </w:rPr>
        <w:t>Model complexity can be quantified using various metrics like: Floating Point Operations (FLOPs): The number of operations required per inference, which directly correlates with computational cost.</w:t>
      </w:r>
    </w:p>
    <w:p w:rsidR="0048332A" w:rsidRDefault="008337A7">
      <w:pPr>
        <w:spacing w:beforeLines="50" w:before="120" w:afterLines="50" w:after="120"/>
        <w:jc w:val="both"/>
        <w:rPr>
          <w:sz w:val="20"/>
          <w:szCs w:val="20"/>
          <w:lang w:val="en-GB"/>
        </w:rPr>
      </w:pPr>
      <w:r>
        <w:rPr>
          <w:sz w:val="20"/>
          <w:szCs w:val="20"/>
          <w:lang w:val="en-GB"/>
        </w:rPr>
        <w:t xml:space="preserve">From our perspective, FLOP is the most straightforward proxy for power consumption of AI model. </w:t>
      </w:r>
    </w:p>
    <w:p w:rsidR="0048332A" w:rsidRDefault="008337A7">
      <w:pPr>
        <w:spacing w:beforeLines="50" w:before="120" w:afterLines="50" w:after="120"/>
        <w:jc w:val="both"/>
        <w:rPr>
          <w:sz w:val="20"/>
          <w:szCs w:val="20"/>
          <w:lang w:val="en-GB"/>
        </w:rPr>
      </w:pPr>
      <w:r>
        <w:rPr>
          <w:sz w:val="20"/>
          <w:szCs w:val="20"/>
          <w:lang w:val="en-GB"/>
        </w:rPr>
        <w:t xml:space="preserve">The power consumption for one AI model during one certain time duration T can be measured by the total FLOPs of AI model during this time duration T, including both model training and inference. </w:t>
      </w:r>
    </w:p>
    <w:p w:rsidR="0048332A" w:rsidRDefault="00453965">
      <w:pPr>
        <w:spacing w:beforeLines="50" w:before="120" w:afterLines="50" w:after="120"/>
        <w:jc w:val="both"/>
        <w:rPr>
          <w:sz w:val="20"/>
          <w:szCs w:val="20"/>
        </w:rPr>
      </w:pPr>
      <m:oMathPara>
        <m:oMath>
          <m:sSubSup>
            <m:sSubSupPr>
              <m:ctrlPr>
                <w:rPr>
                  <w:rFonts w:ascii="Cambria Math" w:hAnsi="Cambria Math"/>
                  <w:sz w:val="20"/>
                  <w:szCs w:val="20"/>
                </w:rPr>
              </m:ctrlPr>
            </m:sSubSupPr>
            <m:e>
              <m:r>
                <m:rPr>
                  <m:sty m:val="p"/>
                </m:rPr>
                <w:rPr>
                  <w:rFonts w:ascii="Cambria Math" w:hAnsi="Cambria Math"/>
                  <w:sz w:val="20"/>
                  <w:szCs w:val="20"/>
                </w:rPr>
                <m:t>F</m:t>
              </m:r>
            </m:e>
            <m:sub>
              <m:r>
                <w:rPr>
                  <w:rFonts w:ascii="Cambria Math" w:hAnsi="Cambria Math"/>
                  <w:sz w:val="20"/>
                  <w:szCs w:val="20"/>
                </w:rPr>
                <m:t>total</m:t>
              </m:r>
            </m:sub>
            <m:sup>
              <m:r>
                <w:rPr>
                  <w:rFonts w:ascii="Cambria Math" w:hAnsi="Cambria Math"/>
                  <w:sz w:val="20"/>
                  <w:szCs w:val="20"/>
                </w:rPr>
                <m:t>T</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training</m:t>
              </m:r>
            </m:sub>
            <m:sup>
              <m:r>
                <w:rPr>
                  <w:rFonts w:ascii="Cambria Math" w:hAnsi="Cambria Math"/>
                  <w:sz w:val="20"/>
                  <w:szCs w:val="20"/>
                </w:rPr>
                <m:t>T</m:t>
              </m:r>
            </m:sup>
          </m:sSubSup>
          <m:r>
            <w:rPr>
              <w:rFonts w:ascii="Cambria Math" w:hAnsi="Cambria Math"/>
              <w:sz w:val="20"/>
              <w:szCs w:val="20"/>
            </w:rPr>
            <m:t>+</m:t>
          </m:r>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inference</m:t>
              </m:r>
            </m:sub>
            <m:sup>
              <m:r>
                <w:rPr>
                  <w:rFonts w:ascii="Cambria Math" w:hAnsi="Cambria Math"/>
                  <w:sz w:val="20"/>
                  <w:szCs w:val="20"/>
                </w:rPr>
                <m:t>T</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T</m:t>
              </m: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EPOCH</m:t>
              </m:r>
            </m:sub>
          </m:sSub>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Dataset</m:t>
              </m:r>
            </m:sub>
          </m:sSub>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FLOP</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m:t>
              </m:r>
            </m:sup>
          </m:sSup>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FLOP</m:t>
              </m:r>
            </m:sub>
          </m:sSub>
        </m:oMath>
      </m:oMathPara>
    </w:p>
    <w:p w:rsidR="0048332A" w:rsidRDefault="00453965">
      <w:pPr>
        <w:spacing w:beforeLines="50" w:before="120" w:afterLines="50" w:after="120"/>
        <w:jc w:val="both"/>
        <w:rPr>
          <w:sz w:val="20"/>
          <w:szCs w:val="20"/>
        </w:rPr>
      </w:pPr>
      <m:oMath>
        <m:sSubSup>
          <m:sSubSupPr>
            <m:ctrlPr>
              <w:rPr>
                <w:rFonts w:ascii="Cambria Math" w:hAnsi="Cambria Math"/>
                <w:sz w:val="20"/>
                <w:szCs w:val="20"/>
              </w:rPr>
            </m:ctrlPr>
          </m:sSubSupPr>
          <m:e>
            <m:r>
              <m:rPr>
                <m:sty m:val="p"/>
              </m:rPr>
              <w:rPr>
                <w:rFonts w:ascii="Cambria Math" w:hAnsi="Cambria Math"/>
                <w:sz w:val="20"/>
                <w:szCs w:val="20"/>
              </w:rPr>
              <m:t>F</m:t>
            </m:r>
          </m:e>
          <m:sub>
            <m:r>
              <w:rPr>
                <w:rFonts w:ascii="Cambria Math" w:hAnsi="Cambria Math"/>
                <w:sz w:val="20"/>
                <w:szCs w:val="20"/>
              </w:rPr>
              <m:t>total</m:t>
            </m:r>
          </m:sub>
          <m:sup>
            <m:r>
              <w:rPr>
                <w:rFonts w:ascii="Cambria Math" w:hAnsi="Cambria Math"/>
                <w:sz w:val="20"/>
                <w:szCs w:val="20"/>
              </w:rPr>
              <m:t>T</m:t>
            </m:r>
          </m:sup>
        </m:sSubSup>
      </m:oMath>
      <w:r w:rsidR="008337A7">
        <w:rPr>
          <w:sz w:val="20"/>
          <w:szCs w:val="20"/>
        </w:rPr>
        <w:t xml:space="preserve"> </w:t>
      </w:r>
      <w:proofErr w:type="gramStart"/>
      <w:r w:rsidR="008337A7">
        <w:rPr>
          <w:sz w:val="20"/>
          <w:szCs w:val="20"/>
        </w:rPr>
        <w:t>is</w:t>
      </w:r>
      <w:proofErr w:type="gramEnd"/>
      <w:r w:rsidR="008337A7">
        <w:rPr>
          <w:sz w:val="20"/>
          <w:szCs w:val="20"/>
        </w:rPr>
        <w:t xml:space="preserve"> the total FLOPs of the model during time duration T, including both model training and inference;</w:t>
      </w:r>
    </w:p>
    <w:p w:rsidR="0048332A" w:rsidRDefault="00453965">
      <w:pPr>
        <w:spacing w:beforeLines="50" w:before="120" w:afterLines="50" w:after="120"/>
        <w:rPr>
          <w:sz w:val="20"/>
          <w:szCs w:val="20"/>
          <w:lang w:val="en-GB"/>
        </w:rPr>
      </w:pPr>
      <m:oMath>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training</m:t>
            </m:r>
          </m:sub>
          <m:sup>
            <m:r>
              <w:rPr>
                <w:rFonts w:ascii="Cambria Math" w:hAnsi="Cambria Math"/>
                <w:sz w:val="20"/>
                <w:szCs w:val="20"/>
              </w:rPr>
              <m:t>T</m:t>
            </m:r>
          </m:sup>
        </m:sSubSup>
      </m:oMath>
      <w:r w:rsidR="008337A7">
        <w:rPr>
          <w:sz w:val="20"/>
          <w:szCs w:val="20"/>
          <w:lang w:val="en-GB"/>
        </w:rPr>
        <w:t xml:space="preserve"> </w:t>
      </w:r>
      <w:proofErr w:type="gramStart"/>
      <w:r w:rsidR="008337A7">
        <w:rPr>
          <w:sz w:val="20"/>
          <w:szCs w:val="20"/>
          <w:lang w:val="en-GB"/>
        </w:rPr>
        <w:t>is</w:t>
      </w:r>
      <w:proofErr w:type="gramEnd"/>
      <w:r w:rsidR="008337A7">
        <w:rPr>
          <w:sz w:val="20"/>
          <w:szCs w:val="20"/>
          <w:lang w:val="en-GB"/>
        </w:rPr>
        <w:t xml:space="preserve"> the total FLOPs of the model training during time duration T;</w:t>
      </w:r>
    </w:p>
    <w:p w:rsidR="0048332A" w:rsidRDefault="00453965">
      <w:pPr>
        <w:spacing w:beforeLines="50" w:before="120" w:afterLines="50" w:after="120"/>
        <w:jc w:val="both"/>
        <w:rPr>
          <w:sz w:val="20"/>
          <w:szCs w:val="20"/>
          <w:lang w:val="en-GB"/>
        </w:rPr>
      </w:pPr>
      <m:oMath>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inference</m:t>
            </m:r>
          </m:sub>
          <m:sup>
            <m:r>
              <w:rPr>
                <w:rFonts w:ascii="Cambria Math" w:hAnsi="Cambria Math"/>
                <w:sz w:val="20"/>
                <w:szCs w:val="20"/>
              </w:rPr>
              <m:t>T</m:t>
            </m:r>
          </m:sup>
        </m:sSubSup>
      </m:oMath>
      <w:r w:rsidR="008337A7">
        <w:rPr>
          <w:sz w:val="20"/>
          <w:szCs w:val="20"/>
          <w:lang w:val="en-GB"/>
        </w:rPr>
        <w:t xml:space="preserve"> </w:t>
      </w:r>
      <w:proofErr w:type="gramStart"/>
      <w:r w:rsidR="008337A7">
        <w:rPr>
          <w:sz w:val="20"/>
          <w:szCs w:val="20"/>
          <w:lang w:val="en-GB"/>
        </w:rPr>
        <w:t>is</w:t>
      </w:r>
      <w:proofErr w:type="gramEnd"/>
      <w:r w:rsidR="008337A7">
        <w:rPr>
          <w:sz w:val="20"/>
          <w:szCs w:val="20"/>
          <w:lang w:val="en-GB"/>
        </w:rPr>
        <w:t xml:space="preserve"> the total FLOPs of the model inference during time </w:t>
      </w:r>
      <w:r w:rsidR="008337A7">
        <w:rPr>
          <w:sz w:val="20"/>
          <w:szCs w:val="20"/>
        </w:rPr>
        <w:t>duration</w:t>
      </w:r>
      <w:r w:rsidR="008337A7">
        <w:rPr>
          <w:sz w:val="20"/>
          <w:szCs w:val="20"/>
          <w:lang w:val="en-GB"/>
        </w:rPr>
        <w:t xml:space="preserve"> T;</w:t>
      </w:r>
    </w:p>
    <w:p w:rsidR="0048332A" w:rsidRDefault="00453965">
      <w:pPr>
        <w:spacing w:beforeLines="50" w:before="120" w:afterLines="50" w:after="120"/>
        <w:jc w:val="both"/>
        <w:rPr>
          <w:sz w:val="20"/>
          <w:szCs w:val="20"/>
          <w:lang w:val="en-GB"/>
        </w:rPr>
      </w:pPr>
      <m:oMath>
        <m:sSup>
          <m:sSupPr>
            <m:ctrlPr>
              <w:rPr>
                <w:rFonts w:ascii="Cambria Math" w:hAnsi="Cambria Math"/>
                <w:i/>
                <w:sz w:val="20"/>
                <w:szCs w:val="20"/>
              </w:rPr>
            </m:ctrlPr>
          </m:sSupPr>
          <m:e>
            <m:r>
              <w:rPr>
                <w:rFonts w:ascii="Cambria Math" w:hAnsi="Cambria Math"/>
                <w:sz w:val="20"/>
                <w:szCs w:val="20"/>
              </w:rPr>
              <m:t>K</m:t>
            </m:r>
          </m:e>
          <m:sup>
            <m:r>
              <w:rPr>
                <w:rFonts w:ascii="Cambria Math" w:hAnsi="Cambria Math"/>
                <w:sz w:val="20"/>
                <w:szCs w:val="20"/>
              </w:rPr>
              <m:t>T</m:t>
            </m:r>
          </m:sup>
        </m:sSup>
      </m:oMath>
      <w:r w:rsidR="008337A7">
        <w:rPr>
          <w:sz w:val="20"/>
          <w:szCs w:val="20"/>
          <w:lang w:val="en-GB"/>
        </w:rPr>
        <w:t xml:space="preserve"> is the number of model training instances </w:t>
      </w:r>
      <w:r w:rsidR="008337A7">
        <w:rPr>
          <w:sz w:val="20"/>
          <w:szCs w:val="20"/>
        </w:rPr>
        <w:t>during</w:t>
      </w:r>
      <w:r w:rsidR="008337A7">
        <w:rPr>
          <w:sz w:val="20"/>
          <w:szCs w:val="20"/>
          <w:lang w:val="en-GB"/>
        </w:rPr>
        <w:t xml:space="preserve"> time duration T;</w:t>
      </w:r>
    </w:p>
    <w:p w:rsidR="0048332A" w:rsidRDefault="008337A7">
      <w:pPr>
        <w:spacing w:beforeLines="50" w:before="120" w:afterLines="50" w:after="120"/>
        <w:jc w:val="both"/>
        <w:rPr>
          <w:sz w:val="20"/>
          <w:szCs w:val="20"/>
          <w:lang w:val="en-GB"/>
        </w:rPr>
      </w:pPr>
      <m:oMath>
        <m:r>
          <w:rPr>
            <w:rFonts w:ascii="Cambria Math" w:hAnsi="Cambria Math"/>
            <w:sz w:val="20"/>
            <w:szCs w:val="20"/>
          </w:rPr>
          <m:t>∂</m:t>
        </m:r>
      </m:oMath>
      <w:r>
        <w:rPr>
          <w:sz w:val="20"/>
          <w:szCs w:val="20"/>
          <w:lang w:val="en-GB"/>
        </w:rPr>
        <w:t xml:space="preserve"> is the scaling ratio to adjust the FLOPs of each processing of batch including both forward and backward propagation, typically </w:t>
      </w:r>
      <m:oMath>
        <m:r>
          <w:rPr>
            <w:rFonts w:ascii="Cambria Math" w:hAnsi="Cambria Math"/>
            <w:sz w:val="20"/>
            <w:szCs w:val="20"/>
          </w:rPr>
          <m:t>∂</m:t>
        </m:r>
        <m:r>
          <w:rPr>
            <w:rFonts w:ascii="Cambria Math" w:hAnsi="Cambria Math"/>
            <w:sz w:val="20"/>
            <w:szCs w:val="20"/>
            <w:lang w:val="en-GB"/>
          </w:rPr>
          <m:t>=3</m:t>
        </m:r>
      </m:oMath>
      <w:r>
        <w:rPr>
          <w:sz w:val="20"/>
          <w:szCs w:val="20"/>
          <w:lang w:val="en-GB"/>
        </w:rPr>
        <w:t>;</w:t>
      </w:r>
    </w:p>
    <w:p w:rsidR="0048332A" w:rsidRDefault="00453965">
      <w:pPr>
        <w:spacing w:beforeLines="50" w:before="120" w:afterLines="50" w:after="120"/>
        <w:jc w:val="both"/>
        <w:rPr>
          <w:sz w:val="20"/>
          <w:szCs w:val="20"/>
          <w:lang w:val="en-GB"/>
        </w:rPr>
      </w:pP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EPOCH</m:t>
            </m:r>
          </m:sub>
        </m:sSub>
      </m:oMath>
      <w:r w:rsidR="008337A7">
        <w:rPr>
          <w:sz w:val="20"/>
          <w:szCs w:val="20"/>
          <w:lang w:val="en-GB"/>
        </w:rPr>
        <w:t xml:space="preserve"> is the number of EPOCHs for one model training;</w:t>
      </w:r>
    </w:p>
    <w:p w:rsidR="0048332A" w:rsidRDefault="00453965">
      <w:pPr>
        <w:spacing w:beforeLines="50" w:before="120" w:afterLines="50" w:after="120"/>
        <w:jc w:val="both"/>
        <w:rPr>
          <w:sz w:val="20"/>
          <w:szCs w:val="20"/>
          <w:lang w:val="en-GB"/>
        </w:rPr>
      </w:pPr>
      <m:oMath>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Dataset</m:t>
            </m:r>
          </m:sub>
        </m:sSub>
      </m:oMath>
      <w:r w:rsidR="008337A7">
        <w:rPr>
          <w:sz w:val="20"/>
          <w:szCs w:val="20"/>
          <w:lang w:val="en-GB"/>
        </w:rPr>
        <w:t xml:space="preserve"> is the number of samples in the dataset for model training;</w:t>
      </w:r>
    </w:p>
    <w:p w:rsidR="0048332A" w:rsidRDefault="00453965">
      <w:pPr>
        <w:spacing w:beforeLines="50" w:before="120" w:afterLines="50" w:after="120"/>
        <w:jc w:val="both"/>
        <w:rPr>
          <w:sz w:val="20"/>
          <w:szCs w:val="20"/>
          <w:lang w:val="en-GB"/>
        </w:rPr>
      </w:pP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FLOP</m:t>
            </m:r>
          </m:sub>
        </m:sSub>
      </m:oMath>
      <w:r w:rsidR="008337A7">
        <w:rPr>
          <w:sz w:val="20"/>
          <w:szCs w:val="20"/>
          <w:lang w:val="en-GB"/>
        </w:rPr>
        <w:t xml:space="preserve"> </w:t>
      </w:r>
      <w:proofErr w:type="gramStart"/>
      <w:r w:rsidR="008337A7">
        <w:rPr>
          <w:sz w:val="20"/>
          <w:szCs w:val="20"/>
          <w:lang w:val="en-GB"/>
        </w:rPr>
        <w:t>is</w:t>
      </w:r>
      <w:proofErr w:type="gramEnd"/>
      <w:r w:rsidR="008337A7">
        <w:rPr>
          <w:sz w:val="20"/>
          <w:szCs w:val="20"/>
          <w:lang w:val="en-GB"/>
        </w:rPr>
        <w:t xml:space="preserve"> the FLOPs for one model inference;</w:t>
      </w:r>
    </w:p>
    <w:p w:rsidR="0048332A" w:rsidRDefault="00453965">
      <w:pPr>
        <w:spacing w:beforeLines="50" w:before="120" w:afterLines="50" w:after="120"/>
        <w:jc w:val="both"/>
        <w:rPr>
          <w:sz w:val="20"/>
          <w:szCs w:val="20"/>
          <w:lang w:val="en-GB"/>
        </w:rPr>
      </w:pPr>
      <m:oMath>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m:t>
            </m:r>
          </m:sup>
        </m:sSup>
      </m:oMath>
      <w:r w:rsidR="008337A7">
        <w:rPr>
          <w:sz w:val="20"/>
          <w:szCs w:val="20"/>
          <w:lang w:val="en-GB"/>
        </w:rPr>
        <w:t xml:space="preserve"> is the number of inferences during time duration T.</w:t>
      </w:r>
    </w:p>
    <w:p w:rsidR="0048332A" w:rsidRDefault="008337A7">
      <w:pPr>
        <w:pStyle w:val="YJ-Proposal"/>
        <w:numPr>
          <w:ilvl w:val="255"/>
          <w:numId w:val="0"/>
        </w:numPr>
        <w:spacing w:before="120" w:after="120" w:line="240" w:lineRule="auto"/>
        <w:rPr>
          <w:b w:val="0"/>
          <w:bCs w:val="0"/>
          <w:lang w:val="en-US" w:eastAsia="zh-CN"/>
        </w:rPr>
      </w:pPr>
      <w:r>
        <w:t>Proposal 3-1-</w:t>
      </w:r>
      <w:r>
        <w:rPr>
          <w:rFonts w:eastAsia="宋体"/>
          <w:lang w:val="en-US"/>
        </w:rPr>
        <w:t>1</w:t>
      </w:r>
      <w:r>
        <w:rPr>
          <w:rFonts w:eastAsia="宋体"/>
          <w:lang w:val="en-US" w:eastAsia="zh-CN"/>
        </w:rPr>
        <w:t>2</w:t>
      </w:r>
      <w:r>
        <w:t>:</w:t>
      </w:r>
      <w:r>
        <w:rPr>
          <w:rFonts w:eastAsia="宋体"/>
          <w:lang w:val="en-US"/>
        </w:rPr>
        <w:t xml:space="preserve"> </w:t>
      </w:r>
      <w:r>
        <w:rPr>
          <w:b w:val="0"/>
          <w:bCs w:val="0"/>
        </w:rPr>
        <w:t>The power consumption of AI model can be reflected by FLOPs approximately.</w:t>
      </w:r>
    </w:p>
    <w:p w:rsidR="0048332A" w:rsidRDefault="008337A7">
      <w:pPr>
        <w:numPr>
          <w:ilvl w:val="2"/>
          <w:numId w:val="1"/>
        </w:numPr>
        <w:snapToGrid w:val="0"/>
        <w:spacing w:before="240" w:afterLines="50" w:after="120"/>
        <w:jc w:val="both"/>
        <w:outlineLvl w:val="2"/>
        <w:rPr>
          <w:b/>
          <w:szCs w:val="28"/>
        </w:rPr>
      </w:pPr>
      <w:r>
        <w:rPr>
          <w:b/>
          <w:szCs w:val="28"/>
        </w:rPr>
        <w:t>Traffic model</w:t>
      </w:r>
    </w:p>
    <w:p w:rsidR="0048332A" w:rsidRDefault="008337A7">
      <w:pPr>
        <w:spacing w:beforeLines="50" w:before="120" w:afterLines="50" w:after="120"/>
        <w:jc w:val="both"/>
        <w:rPr>
          <w:sz w:val="20"/>
        </w:rPr>
      </w:pPr>
      <w:r>
        <w:rPr>
          <w:rFonts w:hint="eastAsia"/>
          <w:sz w:val="20"/>
        </w:rPr>
        <w:t>For the evaluation of energy efficiency, the evaluation results may vary with the system traffic loads. Therefore, during the evaluation, the evaluation results under different load conditions should be fully considered. For the division of the load scenarios, the definition of NR can be refer</w:t>
      </w:r>
      <w:r>
        <w:rPr>
          <w:sz w:val="20"/>
        </w:rPr>
        <w:t>r</w:t>
      </w:r>
      <w:r>
        <w:rPr>
          <w:rFonts w:hint="eastAsia"/>
          <w:sz w:val="20"/>
        </w:rPr>
        <w:t>ed.</w:t>
      </w:r>
    </w:p>
    <w:p w:rsidR="0048332A" w:rsidRDefault="0048332A">
      <w:pPr>
        <w:spacing w:beforeLines="50" w:before="120" w:afterLines="50" w:after="120"/>
        <w:jc w:val="both"/>
        <w:rPr>
          <w:sz w:val="20"/>
        </w:rPr>
      </w:pPr>
    </w:p>
    <w:p w:rsidR="0048332A" w:rsidRDefault="008337A7">
      <w:pPr>
        <w:spacing w:before="120" w:after="120"/>
        <w:jc w:val="center"/>
      </w:pPr>
      <w:r>
        <w:rPr>
          <w:b/>
          <w:sz w:val="20"/>
          <w:szCs w:val="20"/>
          <w:lang w:eastAsia="en-US"/>
        </w:rPr>
        <w:t>Table 3-1-5</w:t>
      </w:r>
      <w:r>
        <w:t xml:space="preserve"> </w:t>
      </w:r>
      <w:r>
        <w:rPr>
          <w:sz w:val="20"/>
        </w:rPr>
        <w:t>Definition of traffic 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5858"/>
      </w:tblGrid>
      <w:tr w:rsidR="0048332A">
        <w:trPr>
          <w:jc w:val="center"/>
        </w:trPr>
        <w:tc>
          <w:tcPr>
            <w:tcW w:w="2715" w:type="dxa"/>
          </w:tcPr>
          <w:p w:rsidR="0048332A" w:rsidRDefault="008337A7">
            <w:pPr>
              <w:pStyle w:val="TAH"/>
              <w:snapToGrid w:val="0"/>
              <w:rPr>
                <w:rFonts w:ascii="Times New Roman" w:hAnsi="Times New Roman"/>
                <w:sz w:val="20"/>
              </w:rPr>
            </w:pPr>
            <w:r>
              <w:rPr>
                <w:rFonts w:ascii="Times New Roman" w:hAnsi="Times New Roman"/>
                <w:sz w:val="20"/>
              </w:rPr>
              <w:lastRenderedPageBreak/>
              <w:t>Load scenario</w:t>
            </w:r>
          </w:p>
        </w:tc>
        <w:tc>
          <w:tcPr>
            <w:tcW w:w="5858" w:type="dxa"/>
          </w:tcPr>
          <w:p w:rsidR="0048332A" w:rsidRDefault="008337A7">
            <w:pPr>
              <w:pStyle w:val="TAH"/>
              <w:snapToGrid w:val="0"/>
              <w:rPr>
                <w:rFonts w:ascii="Times New Roman" w:hAnsi="Times New Roman"/>
                <w:sz w:val="20"/>
              </w:rPr>
            </w:pPr>
            <w:r>
              <w:rPr>
                <w:rFonts w:ascii="Times New Roman" w:hAnsi="Times New Roman"/>
                <w:sz w:val="20"/>
              </w:rPr>
              <w:t>Characteristics</w:t>
            </w:r>
          </w:p>
        </w:tc>
      </w:tr>
      <w:tr w:rsidR="0048332A">
        <w:trPr>
          <w:jc w:val="center"/>
        </w:trPr>
        <w:tc>
          <w:tcPr>
            <w:tcW w:w="2715" w:type="dxa"/>
          </w:tcPr>
          <w:p w:rsidR="0048332A" w:rsidRDefault="008337A7">
            <w:pPr>
              <w:pStyle w:val="TAL"/>
              <w:snapToGrid w:val="0"/>
              <w:rPr>
                <w:rFonts w:ascii="Times New Roman" w:hAnsi="Times New Roman"/>
                <w:sz w:val="20"/>
              </w:rPr>
            </w:pPr>
            <w:r>
              <w:rPr>
                <w:rFonts w:ascii="Times New Roman" w:hAnsi="Times New Roman"/>
                <w:sz w:val="20"/>
              </w:rPr>
              <w:t>Idle/empty load</w:t>
            </w:r>
          </w:p>
        </w:tc>
        <w:tc>
          <w:tcPr>
            <w:tcW w:w="5858" w:type="dxa"/>
          </w:tcPr>
          <w:p w:rsidR="0048332A" w:rsidRDefault="008337A7">
            <w:pPr>
              <w:pStyle w:val="TAL"/>
              <w:snapToGrid w:val="0"/>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L = 0</w:t>
            </w:r>
          </w:p>
        </w:tc>
      </w:tr>
      <w:tr w:rsidR="0048332A">
        <w:trPr>
          <w:jc w:val="center"/>
        </w:trPr>
        <w:tc>
          <w:tcPr>
            <w:tcW w:w="2715" w:type="dxa"/>
          </w:tcPr>
          <w:p w:rsidR="0048332A" w:rsidRDefault="008337A7">
            <w:pPr>
              <w:pStyle w:val="TAL"/>
              <w:snapToGrid w:val="0"/>
              <w:rPr>
                <w:rFonts w:ascii="Times New Roman" w:hAnsi="Times New Roman"/>
                <w:sz w:val="20"/>
              </w:rPr>
            </w:pPr>
            <w:r>
              <w:rPr>
                <w:rFonts w:ascii="Times New Roman" w:hAnsi="Times New Roman"/>
                <w:sz w:val="20"/>
              </w:rPr>
              <w:t>low load</w:t>
            </w:r>
          </w:p>
        </w:tc>
        <w:tc>
          <w:tcPr>
            <w:tcW w:w="5858" w:type="dxa"/>
          </w:tcPr>
          <w:p w:rsidR="0048332A" w:rsidRDefault="008337A7">
            <w:pPr>
              <w:pStyle w:val="TAL"/>
              <w:snapToGrid w:val="0"/>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0 &lt; L</w:t>
            </w:r>
            <w:r>
              <w:rPr>
                <w:rFonts w:ascii="Times New Roman" w:hAnsi="Times New Roman" w:hint="eastAsia"/>
                <w:sz w:val="20"/>
                <w:lang w:val="en-US"/>
              </w:rPr>
              <w:t>≤</w:t>
            </w:r>
            <w:r>
              <w:rPr>
                <w:rFonts w:ascii="Times New Roman" w:eastAsia="MS Mincho" w:hAnsi="Times New Roman"/>
                <w:sz w:val="20"/>
              </w:rPr>
              <w:t>15</w:t>
            </w:r>
          </w:p>
        </w:tc>
      </w:tr>
      <w:tr w:rsidR="0048332A">
        <w:trPr>
          <w:jc w:val="center"/>
        </w:trPr>
        <w:tc>
          <w:tcPr>
            <w:tcW w:w="2715" w:type="dxa"/>
          </w:tcPr>
          <w:p w:rsidR="0048332A" w:rsidRDefault="008337A7">
            <w:pPr>
              <w:pStyle w:val="TAL"/>
              <w:snapToGrid w:val="0"/>
              <w:rPr>
                <w:rFonts w:ascii="Times New Roman" w:hAnsi="Times New Roman"/>
                <w:sz w:val="20"/>
              </w:rPr>
            </w:pPr>
            <w:r>
              <w:rPr>
                <w:rFonts w:ascii="Times New Roman" w:hAnsi="Times New Roman"/>
                <w:sz w:val="20"/>
              </w:rPr>
              <w:t>Light load</w:t>
            </w:r>
          </w:p>
        </w:tc>
        <w:tc>
          <w:tcPr>
            <w:tcW w:w="5858" w:type="dxa"/>
          </w:tcPr>
          <w:p w:rsidR="0048332A" w:rsidRDefault="008337A7">
            <w:pPr>
              <w:pStyle w:val="TAL"/>
              <w:snapToGrid w:val="0"/>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15 &lt; L</w:t>
            </w:r>
            <w:r>
              <w:rPr>
                <w:rFonts w:ascii="Times New Roman" w:hAnsi="Times New Roman" w:hint="eastAsia"/>
                <w:sz w:val="20"/>
                <w:lang w:val="en-US"/>
              </w:rPr>
              <w:t>≤</w:t>
            </w:r>
            <w:r>
              <w:rPr>
                <w:rFonts w:ascii="Times New Roman" w:eastAsia="MS Mincho" w:hAnsi="Times New Roman"/>
                <w:sz w:val="20"/>
              </w:rPr>
              <w:t>30</w:t>
            </w:r>
          </w:p>
        </w:tc>
      </w:tr>
      <w:tr w:rsidR="0048332A">
        <w:trPr>
          <w:jc w:val="center"/>
        </w:trPr>
        <w:tc>
          <w:tcPr>
            <w:tcW w:w="2715" w:type="dxa"/>
          </w:tcPr>
          <w:p w:rsidR="0048332A" w:rsidRDefault="008337A7">
            <w:pPr>
              <w:pStyle w:val="TAL"/>
              <w:snapToGrid w:val="0"/>
              <w:rPr>
                <w:rFonts w:ascii="Times New Roman" w:hAnsi="Times New Roman"/>
                <w:sz w:val="20"/>
              </w:rPr>
            </w:pPr>
            <w:r>
              <w:rPr>
                <w:rFonts w:ascii="Times New Roman" w:hAnsi="Times New Roman"/>
                <w:sz w:val="20"/>
              </w:rPr>
              <w:t>Medium load</w:t>
            </w:r>
          </w:p>
        </w:tc>
        <w:tc>
          <w:tcPr>
            <w:tcW w:w="5858" w:type="dxa"/>
          </w:tcPr>
          <w:p w:rsidR="0048332A" w:rsidRDefault="008337A7">
            <w:pPr>
              <w:pStyle w:val="TAL"/>
              <w:snapToGrid w:val="0"/>
              <w:rPr>
                <w:rFonts w:ascii="Times New Roman" w:hAnsi="Times New Roman"/>
                <w:sz w:val="20"/>
              </w:rPr>
            </w:pPr>
            <w:r>
              <w:rPr>
                <w:rFonts w:ascii="Times New Roman" w:hAnsi="Times New Roman"/>
                <w:sz w:val="20"/>
              </w:rPr>
              <w:t>Include cell-specific signals and channels, and</w:t>
            </w:r>
            <w:r>
              <w:rPr>
                <w:sz w:val="20"/>
              </w:rPr>
              <w:t xml:space="preserve"> </w:t>
            </w:r>
            <w:r>
              <w:rPr>
                <w:rFonts w:ascii="Times New Roman" w:hAnsi="Times New Roman"/>
                <w:sz w:val="20"/>
              </w:rPr>
              <w:t>30 &lt; L</w:t>
            </w:r>
            <w:r>
              <w:rPr>
                <w:rFonts w:ascii="Times New Roman" w:hAnsi="Times New Roman" w:hint="eastAsia"/>
                <w:sz w:val="20"/>
                <w:lang w:val="en-US"/>
              </w:rPr>
              <w:t>≤</w:t>
            </w:r>
            <w:r>
              <w:rPr>
                <w:rFonts w:ascii="Times New Roman" w:eastAsia="MS Mincho" w:hAnsi="Times New Roman"/>
                <w:sz w:val="20"/>
              </w:rPr>
              <w:t>50</w:t>
            </w:r>
          </w:p>
        </w:tc>
      </w:tr>
      <w:tr w:rsidR="0048332A">
        <w:trPr>
          <w:jc w:val="center"/>
        </w:trPr>
        <w:tc>
          <w:tcPr>
            <w:tcW w:w="8573" w:type="dxa"/>
            <w:gridSpan w:val="2"/>
          </w:tcPr>
          <w:p w:rsidR="0048332A" w:rsidRDefault="008337A7">
            <w:pPr>
              <w:pStyle w:val="TAL"/>
              <w:snapToGrid w:val="0"/>
              <w:rPr>
                <w:rFonts w:ascii="Times New Roman" w:hAnsi="Times New Roman"/>
                <w:sz w:val="20"/>
              </w:rPr>
            </w:pPr>
            <w:r>
              <w:rPr>
                <w:rFonts w:ascii="Times New Roman" w:hAnsi="Times New Roman"/>
                <w:sz w:val="20"/>
              </w:rPr>
              <w:t>For CA, the companies report whether the load is defined per CC or across all CCs.</w:t>
            </w:r>
          </w:p>
        </w:tc>
      </w:tr>
    </w:tbl>
    <w:p w:rsidR="0048332A" w:rsidRDefault="008337A7">
      <w:pPr>
        <w:numPr>
          <w:ilvl w:val="255"/>
          <w:numId w:val="0"/>
        </w:numPr>
        <w:spacing w:before="120" w:after="120"/>
      </w:pPr>
      <w:bookmarkStart w:id="13" w:name="_Toc20403"/>
      <w:r>
        <w:rPr>
          <w:b/>
          <w:i/>
          <w:sz w:val="20"/>
          <w:szCs w:val="20"/>
        </w:rPr>
        <w:t>Proposal</w:t>
      </w:r>
      <w:r>
        <w:rPr>
          <w:rFonts w:hint="eastAsia"/>
          <w:b/>
          <w:i/>
          <w:sz w:val="20"/>
          <w:szCs w:val="20"/>
        </w:rPr>
        <w:t xml:space="preserve"> </w:t>
      </w:r>
      <w:r>
        <w:rPr>
          <w:b/>
          <w:i/>
          <w:sz w:val="20"/>
          <w:szCs w:val="20"/>
        </w:rPr>
        <w:t>3-1-</w:t>
      </w:r>
      <w:r>
        <w:rPr>
          <w:rFonts w:hint="eastAsia"/>
          <w:b/>
          <w:i/>
          <w:sz w:val="20"/>
          <w:szCs w:val="20"/>
        </w:rPr>
        <w:t>13</w:t>
      </w:r>
      <w:r>
        <w:rPr>
          <w:b/>
          <w:i/>
          <w:sz w:val="20"/>
          <w:szCs w:val="20"/>
        </w:rPr>
        <w:t>:</w:t>
      </w:r>
      <w:r>
        <w:rPr>
          <w:i/>
          <w:sz w:val="20"/>
          <w:szCs w:val="20"/>
        </w:rPr>
        <w:t xml:space="preserve"> </w:t>
      </w:r>
      <w:r>
        <w:rPr>
          <w:rFonts w:hint="eastAsia"/>
          <w:i/>
          <w:sz w:val="20"/>
        </w:rPr>
        <w:t xml:space="preserve">The load scenario defined in Table </w:t>
      </w:r>
      <w:r>
        <w:rPr>
          <w:i/>
          <w:sz w:val="20"/>
        </w:rPr>
        <w:t>3-1-5</w:t>
      </w:r>
      <w:r>
        <w:rPr>
          <w:rFonts w:hint="eastAsia"/>
          <w:i/>
          <w:sz w:val="20"/>
        </w:rPr>
        <w:t xml:space="preserve"> can be considered.</w:t>
      </w:r>
      <w:bookmarkEnd w:id="13"/>
    </w:p>
    <w:p w:rsidR="0048332A" w:rsidRDefault="008337A7">
      <w:pPr>
        <w:spacing w:beforeLines="50" w:before="120" w:afterLines="50" w:after="120"/>
        <w:jc w:val="both"/>
        <w:rPr>
          <w:sz w:val="20"/>
        </w:rPr>
      </w:pPr>
      <w:r>
        <w:rPr>
          <w:rFonts w:hint="eastAsia"/>
          <w:sz w:val="20"/>
        </w:rPr>
        <w:t>FTP model 3 (0.5MB as packet size, 200ms as mean inter-arrival time), FTP3 IM (0.1MB as packet size, 2s as mean inter-arrival time) and VOIP are the most typical UE service models. Therefore, these service models can be used for the evaluation of the 6G system. To adapt to the characteristics of the 6G system, the modification of the parameters and other burst traffic arrival models should also not be precluded. And applications including FTP, web-browsing, video streaming, instant messaging, VoIP, gaming, XR, background app sync can be considered for traffic modelling for evaluation</w:t>
      </w:r>
      <w:r>
        <w:rPr>
          <w:sz w:val="20"/>
        </w:rPr>
        <w:t xml:space="preserve">. </w:t>
      </w:r>
    </w:p>
    <w:p w:rsidR="0048332A" w:rsidRDefault="008337A7">
      <w:pPr>
        <w:spacing w:beforeLines="50" w:before="120" w:afterLines="50" w:after="120"/>
        <w:jc w:val="both"/>
        <w:rPr>
          <w:sz w:val="20"/>
        </w:rPr>
      </w:pPr>
      <w:r>
        <w:rPr>
          <w:b/>
          <w:i/>
          <w:sz w:val="20"/>
          <w:szCs w:val="20"/>
        </w:rPr>
        <w:t>Proposal</w:t>
      </w:r>
      <w:r>
        <w:rPr>
          <w:rFonts w:hint="eastAsia"/>
          <w:b/>
          <w:i/>
          <w:sz w:val="20"/>
          <w:szCs w:val="20"/>
        </w:rPr>
        <w:t xml:space="preserve"> </w:t>
      </w:r>
      <w:r>
        <w:rPr>
          <w:b/>
          <w:i/>
          <w:sz w:val="20"/>
          <w:szCs w:val="20"/>
        </w:rPr>
        <w:t>3-1-</w:t>
      </w:r>
      <w:r>
        <w:rPr>
          <w:rFonts w:hint="eastAsia"/>
          <w:b/>
          <w:i/>
          <w:sz w:val="20"/>
          <w:szCs w:val="20"/>
        </w:rPr>
        <w:t>14</w:t>
      </w:r>
      <w:r>
        <w:rPr>
          <w:b/>
          <w:i/>
          <w:sz w:val="20"/>
          <w:szCs w:val="20"/>
        </w:rPr>
        <w:t>:</w:t>
      </w:r>
      <w:bookmarkStart w:id="14" w:name="_Toc27729"/>
      <w:r>
        <w:rPr>
          <w:sz w:val="20"/>
        </w:rPr>
        <w:t xml:space="preserve"> </w:t>
      </w:r>
      <w:r>
        <w:rPr>
          <w:rFonts w:hint="eastAsia"/>
          <w:i/>
          <w:iCs/>
          <w:sz w:val="20"/>
        </w:rPr>
        <w:t>FTP can be used as the starting point for the evaluation of the 6G energy efficiency.</w:t>
      </w:r>
      <w:bookmarkEnd w:id="14"/>
    </w:p>
    <w:p w:rsidR="0048332A" w:rsidRDefault="008337A7">
      <w:pPr>
        <w:numPr>
          <w:ilvl w:val="2"/>
          <w:numId w:val="1"/>
        </w:numPr>
        <w:snapToGrid w:val="0"/>
        <w:spacing w:before="240" w:afterLines="50" w:after="120"/>
        <w:jc w:val="both"/>
        <w:outlineLvl w:val="2"/>
        <w:rPr>
          <w:b/>
          <w:szCs w:val="28"/>
        </w:rPr>
      </w:pPr>
      <w:r>
        <w:rPr>
          <w:b/>
          <w:szCs w:val="28"/>
        </w:rPr>
        <w:t>Metrics/Criteria</w:t>
      </w:r>
    </w:p>
    <w:p w:rsidR="0048332A" w:rsidRDefault="008337A7">
      <w:pPr>
        <w:pStyle w:val="Heading4"/>
        <w:tabs>
          <w:tab w:val="left" w:pos="720"/>
        </w:tabs>
        <w:snapToGrid w:val="0"/>
        <w:spacing w:before="240" w:afterLines="50" w:after="120"/>
        <w:jc w:val="both"/>
        <w:rPr>
          <w:b/>
          <w:sz w:val="22"/>
        </w:rPr>
      </w:pPr>
      <w:r>
        <w:rPr>
          <w:b/>
          <w:sz w:val="22"/>
        </w:rPr>
        <w:t xml:space="preserve">3.1.3.1 </w:t>
      </w:r>
      <w:r>
        <w:rPr>
          <w:b/>
          <w:bCs/>
          <w:sz w:val="22"/>
        </w:rPr>
        <w:t>Numerical/system simulation</w:t>
      </w:r>
    </w:p>
    <w:p w:rsidR="0048332A" w:rsidRDefault="008337A7">
      <w:pPr>
        <w:pStyle w:val="YJ-Observation"/>
        <w:numPr>
          <w:ilvl w:val="255"/>
          <w:numId w:val="0"/>
        </w:numPr>
        <w:tabs>
          <w:tab w:val="clear" w:pos="0"/>
        </w:tabs>
        <w:spacing w:before="120" w:after="120" w:line="240" w:lineRule="auto"/>
        <w:jc w:val="both"/>
        <w:rPr>
          <w:b w:val="0"/>
          <w:bCs w:val="0"/>
          <w:i w:val="0"/>
          <w:iCs w:val="0"/>
          <w:lang w:val="en-US" w:eastAsia="zh-CN"/>
        </w:rPr>
      </w:pPr>
      <w:r>
        <w:rPr>
          <w:rFonts w:hint="eastAsia"/>
          <w:b w:val="0"/>
          <w:bCs w:val="0"/>
          <w:i w:val="0"/>
          <w:iCs w:val="0"/>
          <w:lang w:val="en-US" w:eastAsia="zh-CN"/>
        </w:rPr>
        <w:t>The choice between numerical simulation and system-level evaluation depends on the traffic load and UE states. For instance, numerical simulation is sufficient for idle or inactive UEs or when the network is under an empty load. However, when multiple UEs are connected to the network and traffic is being exchanged between UEs and the network, system-level simulation becomes essential. This is necessary to gain a comprehensive understanding of the impact of potential energy-saving techniques on both the network and UEs.</w:t>
      </w:r>
    </w:p>
    <w:p w:rsidR="0048332A" w:rsidRDefault="008337A7">
      <w:pPr>
        <w:pStyle w:val="YJ-Proposal"/>
        <w:numPr>
          <w:ilvl w:val="0"/>
          <w:numId w:val="0"/>
        </w:numPr>
        <w:spacing w:before="120" w:after="120"/>
        <w:jc w:val="both"/>
        <w:rPr>
          <w:b w:val="0"/>
          <w:bCs w:val="0"/>
          <w:i w:val="0"/>
          <w:iCs w:val="0"/>
        </w:rPr>
      </w:pPr>
      <w:r>
        <w:rPr>
          <w:rFonts w:eastAsia="宋体"/>
          <w:bCs w:val="0"/>
          <w:iCs w:val="0"/>
          <w:kern w:val="0"/>
          <w:lang w:val="en-US" w:eastAsia="zh-CN"/>
        </w:rPr>
        <w:t>Proposal</w:t>
      </w:r>
      <w:r>
        <w:rPr>
          <w:rFonts w:eastAsia="宋体" w:hint="eastAsia"/>
          <w:bCs w:val="0"/>
          <w:iCs w:val="0"/>
          <w:kern w:val="0"/>
          <w:lang w:val="en-US" w:eastAsia="zh-CN"/>
        </w:rPr>
        <w:t xml:space="preserve"> </w:t>
      </w:r>
      <w:r>
        <w:rPr>
          <w:rFonts w:eastAsia="宋体"/>
          <w:bCs w:val="0"/>
          <w:iCs w:val="0"/>
          <w:kern w:val="0"/>
          <w:lang w:val="en-US" w:eastAsia="zh-CN"/>
        </w:rPr>
        <w:t>3-1-</w:t>
      </w:r>
      <w:r>
        <w:rPr>
          <w:rFonts w:eastAsia="宋体" w:hint="eastAsia"/>
          <w:bCs w:val="0"/>
          <w:iCs w:val="0"/>
          <w:kern w:val="0"/>
          <w:lang w:val="en-US" w:eastAsia="zh-CN"/>
        </w:rPr>
        <w:t>15</w:t>
      </w:r>
      <w:r>
        <w:rPr>
          <w:rFonts w:eastAsia="宋体"/>
          <w:bCs w:val="0"/>
          <w:iCs w:val="0"/>
          <w:kern w:val="0"/>
          <w:lang w:val="en-US" w:eastAsia="zh-CN"/>
        </w:rPr>
        <w:t>:</w:t>
      </w:r>
      <w:r>
        <w:t xml:space="preserve"> </w:t>
      </w:r>
      <w:r>
        <w:rPr>
          <w:rFonts w:hint="eastAsia"/>
          <w:b w:val="0"/>
          <w:bCs w:val="0"/>
          <w:i w:val="0"/>
          <w:iCs w:val="0"/>
          <w:lang w:val="en-US" w:eastAsia="zh-CN"/>
        </w:rPr>
        <w:t>Both numerical simulation and system-level evaluation can be considered for energy efficiency discussion</w:t>
      </w:r>
      <w:r>
        <w:rPr>
          <w:b w:val="0"/>
          <w:bCs w:val="0"/>
          <w:i w:val="0"/>
          <w:iCs w:val="0"/>
          <w:lang w:val="en-US" w:eastAsia="zh-CN"/>
        </w:rPr>
        <w:t>.</w:t>
      </w:r>
    </w:p>
    <w:p w:rsidR="0048332A" w:rsidRDefault="008337A7">
      <w:pPr>
        <w:pStyle w:val="Heading4"/>
        <w:tabs>
          <w:tab w:val="left" w:pos="720"/>
        </w:tabs>
        <w:snapToGrid w:val="0"/>
        <w:spacing w:before="240" w:afterLines="50" w:after="120"/>
        <w:jc w:val="both"/>
        <w:rPr>
          <w:b/>
          <w:sz w:val="22"/>
        </w:rPr>
      </w:pPr>
      <w:r>
        <w:rPr>
          <w:rFonts w:hint="eastAsia"/>
          <w:b/>
          <w:sz w:val="22"/>
        </w:rPr>
        <w:t>3.1.</w:t>
      </w:r>
      <w:r>
        <w:rPr>
          <w:b/>
          <w:sz w:val="22"/>
        </w:rPr>
        <w:t>3</w:t>
      </w:r>
      <w:r>
        <w:rPr>
          <w:rFonts w:hint="eastAsia"/>
          <w:b/>
          <w:sz w:val="22"/>
        </w:rPr>
        <w:t>.</w:t>
      </w:r>
      <w:r>
        <w:rPr>
          <w:b/>
          <w:sz w:val="22"/>
        </w:rPr>
        <w:t>2</w:t>
      </w:r>
      <w:r>
        <w:rPr>
          <w:rFonts w:hint="eastAsia"/>
          <w:b/>
          <w:sz w:val="22"/>
        </w:rPr>
        <w:t xml:space="preserve"> </w:t>
      </w:r>
      <w:r>
        <w:rPr>
          <w:b/>
          <w:bCs/>
          <w:szCs w:val="24"/>
        </w:rPr>
        <w:t>Metrics</w:t>
      </w:r>
    </w:p>
    <w:p w:rsidR="0048332A" w:rsidRDefault="008337A7">
      <w:pPr>
        <w:snapToGrid w:val="0"/>
        <w:spacing w:beforeLines="50" w:before="120" w:afterLines="50" w:after="120"/>
        <w:rPr>
          <w:sz w:val="20"/>
          <w:szCs w:val="20"/>
        </w:rPr>
      </w:pPr>
      <w:r>
        <w:rPr>
          <w:rFonts w:hint="eastAsia"/>
          <w:sz w:val="20"/>
          <w:szCs w:val="20"/>
        </w:rPr>
        <w:t xml:space="preserve">For the evaluation of the energy saving, the evaluation methodology should target for evaluating energy savings gains, as well as assessing/balancing impact to network and user performance, e.g. spectral efficiency, capacity, UPT, latency, overhead </w:t>
      </w:r>
      <w:r>
        <w:rPr>
          <w:sz w:val="20"/>
          <w:szCs w:val="20"/>
        </w:rPr>
        <w:t>etc.</w:t>
      </w:r>
      <w:r>
        <w:rPr>
          <w:rFonts w:hint="eastAsia"/>
          <w:sz w:val="20"/>
          <w:szCs w:val="20"/>
        </w:rPr>
        <w:t xml:space="preserve"> Therefore, the network/UE energy saving gain, UPT and latency should be mainly considered as the KPI.</w:t>
      </w:r>
    </w:p>
    <w:p w:rsidR="0048332A" w:rsidRDefault="008337A7">
      <w:pPr>
        <w:pStyle w:val="YJ-Proposal"/>
        <w:numPr>
          <w:ilvl w:val="0"/>
          <w:numId w:val="0"/>
        </w:numPr>
        <w:spacing w:before="120" w:after="120"/>
        <w:jc w:val="both"/>
        <w:rPr>
          <w:lang w:val="en-US" w:eastAsia="zh-CN"/>
        </w:rPr>
      </w:pPr>
      <w:r>
        <w:rPr>
          <w:rFonts w:eastAsia="宋体"/>
          <w:bCs w:val="0"/>
          <w:iCs w:val="0"/>
          <w:kern w:val="0"/>
          <w:lang w:val="en-US" w:eastAsia="zh-CN"/>
        </w:rPr>
        <w:t>Proposal</w:t>
      </w:r>
      <w:r>
        <w:rPr>
          <w:rFonts w:eastAsia="宋体" w:hint="eastAsia"/>
          <w:bCs w:val="0"/>
          <w:iCs w:val="0"/>
          <w:kern w:val="0"/>
          <w:lang w:val="en-US" w:eastAsia="zh-CN"/>
        </w:rPr>
        <w:t xml:space="preserve"> </w:t>
      </w:r>
      <w:r>
        <w:rPr>
          <w:rFonts w:eastAsia="宋体"/>
          <w:bCs w:val="0"/>
          <w:iCs w:val="0"/>
          <w:kern w:val="0"/>
          <w:lang w:val="en-US" w:eastAsia="zh-CN"/>
        </w:rPr>
        <w:t>3-1-</w:t>
      </w:r>
      <w:r>
        <w:rPr>
          <w:rFonts w:eastAsia="宋体" w:hint="eastAsia"/>
          <w:bCs w:val="0"/>
          <w:iCs w:val="0"/>
          <w:kern w:val="0"/>
          <w:lang w:val="en-US" w:eastAsia="zh-CN"/>
        </w:rPr>
        <w:t>16:</w:t>
      </w:r>
      <w:r>
        <w:rPr>
          <w:rFonts w:eastAsia="宋体" w:hint="eastAsia"/>
          <w:b w:val="0"/>
          <w:iCs w:val="0"/>
          <w:kern w:val="0"/>
          <w:lang w:val="en-US" w:eastAsia="zh-CN"/>
        </w:rPr>
        <w:t xml:space="preserve"> </w:t>
      </w:r>
      <w:r>
        <w:rPr>
          <w:rFonts w:hint="eastAsia"/>
          <w:b w:val="0"/>
          <w:lang w:val="en-US" w:eastAsia="zh-CN"/>
        </w:rPr>
        <w:t>For the evaluation of the energy saving, NW/UE energy saving gain, UPT and latency should be considered as the main metrics.</w:t>
      </w:r>
    </w:p>
    <w:p w:rsidR="0048332A" w:rsidRDefault="008337A7">
      <w:pPr>
        <w:pStyle w:val="YJ-Proposal"/>
        <w:numPr>
          <w:ilvl w:val="255"/>
          <w:numId w:val="0"/>
        </w:numPr>
        <w:snapToGrid w:val="0"/>
        <w:spacing w:before="120" w:after="120" w:line="240" w:lineRule="auto"/>
        <w:jc w:val="both"/>
        <w:rPr>
          <w:rFonts w:eastAsia="宋体"/>
          <w:b w:val="0"/>
          <w:bCs w:val="0"/>
          <w:i w:val="0"/>
          <w:iCs w:val="0"/>
          <w:lang w:val="en-US" w:eastAsia="zh-CN"/>
        </w:rPr>
      </w:pPr>
      <w:r>
        <w:rPr>
          <w:rFonts w:eastAsia="宋体" w:hint="eastAsia"/>
          <w:b w:val="0"/>
          <w:bCs w:val="0"/>
          <w:i w:val="0"/>
          <w:iCs w:val="0"/>
          <w:lang w:val="en-US" w:eastAsia="zh-CN"/>
        </w:rPr>
        <w:t>Noted that different traffic types have different QoS flow requirement, which may be also accounted as one of the metrics.</w:t>
      </w:r>
    </w:p>
    <w:p w:rsidR="0048332A" w:rsidRDefault="008337A7">
      <w:pPr>
        <w:snapToGrid w:val="0"/>
        <w:spacing w:beforeLines="50" w:before="120" w:afterLines="50" w:after="120"/>
        <w:rPr>
          <w:sz w:val="20"/>
          <w:szCs w:val="20"/>
        </w:rPr>
      </w:pPr>
      <w:r>
        <w:rPr>
          <w:sz w:val="20"/>
          <w:szCs w:val="20"/>
        </w:rPr>
        <w:t xml:space="preserve">To compare the energy saving effects of different solutions and avoid the impact of factors other than the solution on the results, the variables </w:t>
      </w:r>
      <w:r>
        <w:rPr>
          <w:rFonts w:hint="eastAsia"/>
          <w:sz w:val="20"/>
          <w:szCs w:val="20"/>
        </w:rPr>
        <w:t xml:space="preserve">should be controlled </w:t>
      </w:r>
      <w:r>
        <w:rPr>
          <w:sz w:val="20"/>
          <w:szCs w:val="20"/>
        </w:rPr>
        <w:t>when calculating the energy saving gains.</w:t>
      </w:r>
      <w:r>
        <w:rPr>
          <w:rFonts w:hint="eastAsia"/>
          <w:sz w:val="20"/>
          <w:szCs w:val="20"/>
        </w:rPr>
        <w:t xml:space="preserve"> </w:t>
      </w:r>
      <w:r>
        <w:rPr>
          <w:sz w:val="20"/>
          <w:szCs w:val="20"/>
        </w:rPr>
        <w:t xml:space="preserve">Therefore, when calculating the </w:t>
      </w:r>
      <w:r>
        <w:rPr>
          <w:rFonts w:hint="eastAsia"/>
          <w:sz w:val="20"/>
          <w:szCs w:val="20"/>
        </w:rPr>
        <w:t xml:space="preserve">network </w:t>
      </w:r>
      <w:r>
        <w:rPr>
          <w:sz w:val="20"/>
          <w:szCs w:val="20"/>
        </w:rPr>
        <w:t>energy saving gain, the case</w:t>
      </w:r>
      <w:r>
        <w:rPr>
          <w:rFonts w:hint="eastAsia"/>
          <w:sz w:val="20"/>
          <w:szCs w:val="20"/>
        </w:rPr>
        <w:t>s</w:t>
      </w:r>
      <w:r>
        <w:rPr>
          <w:sz w:val="20"/>
          <w:szCs w:val="20"/>
        </w:rPr>
        <w:t xml:space="preserve"> </w:t>
      </w:r>
      <w:r>
        <w:rPr>
          <w:rFonts w:hint="eastAsia"/>
          <w:sz w:val="20"/>
          <w:szCs w:val="20"/>
        </w:rPr>
        <w:t>with/</w:t>
      </w:r>
      <w:r>
        <w:rPr>
          <w:sz w:val="20"/>
          <w:szCs w:val="20"/>
        </w:rPr>
        <w:t>without</w:t>
      </w:r>
      <w:r>
        <w:rPr>
          <w:rFonts w:hint="eastAsia"/>
          <w:sz w:val="20"/>
          <w:szCs w:val="20"/>
        </w:rPr>
        <w:t xml:space="preserve"> energy saving</w:t>
      </w:r>
      <w:r>
        <w:rPr>
          <w:sz w:val="20"/>
          <w:szCs w:val="20"/>
        </w:rPr>
        <w:t xml:space="preserve"> solution </w:t>
      </w:r>
      <w:r>
        <w:rPr>
          <w:rFonts w:hint="eastAsia"/>
          <w:sz w:val="20"/>
          <w:szCs w:val="20"/>
        </w:rPr>
        <w:t xml:space="preserve">should be </w:t>
      </w:r>
      <w:r>
        <w:rPr>
          <w:sz w:val="20"/>
          <w:szCs w:val="20"/>
        </w:rPr>
        <w:t>evaluated</w:t>
      </w:r>
      <w:r>
        <w:rPr>
          <w:rFonts w:hint="eastAsia"/>
          <w:sz w:val="20"/>
          <w:szCs w:val="20"/>
        </w:rPr>
        <w:t xml:space="preserve"> </w:t>
      </w:r>
      <w:r>
        <w:rPr>
          <w:sz w:val="20"/>
          <w:szCs w:val="20"/>
        </w:rPr>
        <w:t xml:space="preserve">under the same load </w:t>
      </w:r>
      <w:r>
        <w:rPr>
          <w:rFonts w:hint="eastAsia"/>
          <w:sz w:val="20"/>
          <w:szCs w:val="20"/>
        </w:rPr>
        <w:t>scenario</w:t>
      </w:r>
      <w:r>
        <w:rPr>
          <w:sz w:val="20"/>
          <w:szCs w:val="20"/>
        </w:rPr>
        <w:t>.</w:t>
      </w:r>
      <w:r>
        <w:rPr>
          <w:rFonts w:hint="eastAsia"/>
          <w:sz w:val="20"/>
          <w:szCs w:val="20"/>
        </w:rPr>
        <w:t xml:space="preserve"> </w:t>
      </w:r>
    </w:p>
    <w:p w:rsidR="0048332A" w:rsidRDefault="008337A7">
      <w:pPr>
        <w:pStyle w:val="YJ-Observation"/>
        <w:numPr>
          <w:ilvl w:val="255"/>
          <w:numId w:val="0"/>
        </w:numPr>
        <w:tabs>
          <w:tab w:val="clear" w:pos="0"/>
        </w:tabs>
        <w:snapToGrid w:val="0"/>
        <w:spacing w:before="120" w:after="120" w:line="240" w:lineRule="auto"/>
        <w:jc w:val="both"/>
        <w:rPr>
          <w:b w:val="0"/>
          <w:bCs w:val="0"/>
          <w:i w:val="0"/>
          <w:iCs w:val="0"/>
          <w:lang w:val="en-US" w:eastAsia="zh-CN"/>
        </w:rPr>
      </w:pPr>
      <w:r>
        <w:rPr>
          <w:rFonts w:eastAsia="宋体"/>
          <w:bCs w:val="0"/>
          <w:iCs w:val="0"/>
          <w:kern w:val="0"/>
          <w:lang w:val="en-US" w:eastAsia="zh-CN"/>
        </w:rPr>
        <w:t>Proposal</w:t>
      </w:r>
      <w:r>
        <w:rPr>
          <w:rFonts w:eastAsia="宋体" w:hint="eastAsia"/>
          <w:bCs w:val="0"/>
          <w:iCs w:val="0"/>
          <w:kern w:val="0"/>
          <w:lang w:val="en-US" w:eastAsia="zh-CN"/>
        </w:rPr>
        <w:t xml:space="preserve"> </w:t>
      </w:r>
      <w:r>
        <w:rPr>
          <w:rFonts w:eastAsia="宋体"/>
          <w:bCs w:val="0"/>
          <w:iCs w:val="0"/>
          <w:kern w:val="0"/>
          <w:lang w:val="en-US" w:eastAsia="zh-CN"/>
        </w:rPr>
        <w:t>3-1-</w:t>
      </w:r>
      <w:r>
        <w:rPr>
          <w:rFonts w:eastAsia="宋体" w:hint="eastAsia"/>
          <w:bCs w:val="0"/>
          <w:iCs w:val="0"/>
          <w:kern w:val="0"/>
          <w:lang w:val="en-US" w:eastAsia="zh-CN"/>
        </w:rPr>
        <w:t>17:</w:t>
      </w:r>
      <w:r>
        <w:rPr>
          <w:rFonts w:eastAsia="宋体"/>
          <w:bCs w:val="0"/>
          <w:iCs w:val="0"/>
          <w:kern w:val="0"/>
          <w:lang w:val="en-US" w:eastAsia="zh-CN"/>
        </w:rPr>
        <w:t xml:space="preserve"> </w:t>
      </w:r>
      <w:r>
        <w:rPr>
          <w:rFonts w:eastAsia="宋体"/>
          <w:b w:val="0"/>
          <w:iCs w:val="0"/>
          <w:kern w:val="0"/>
          <w:lang w:val="en-US" w:eastAsia="zh-CN"/>
        </w:rPr>
        <w:t xml:space="preserve">When </w:t>
      </w:r>
      <w:r>
        <w:rPr>
          <w:b w:val="0"/>
          <w:lang w:val="en-US" w:eastAsia="zh-CN"/>
        </w:rPr>
        <w:t xml:space="preserve">calculating the </w:t>
      </w:r>
      <w:r>
        <w:rPr>
          <w:rFonts w:hint="eastAsia"/>
          <w:b w:val="0"/>
          <w:lang w:val="en-US" w:eastAsia="zh-CN"/>
        </w:rPr>
        <w:t xml:space="preserve">network </w:t>
      </w:r>
      <w:r>
        <w:rPr>
          <w:b w:val="0"/>
          <w:lang w:val="en-US" w:eastAsia="zh-CN"/>
        </w:rPr>
        <w:t>energy saving gain, the case</w:t>
      </w:r>
      <w:r>
        <w:rPr>
          <w:rFonts w:hint="eastAsia"/>
          <w:b w:val="0"/>
          <w:lang w:val="en-US" w:eastAsia="zh-CN"/>
        </w:rPr>
        <w:t>s</w:t>
      </w:r>
      <w:r>
        <w:rPr>
          <w:b w:val="0"/>
          <w:lang w:val="en-US" w:eastAsia="zh-CN"/>
        </w:rPr>
        <w:t xml:space="preserve"> </w:t>
      </w:r>
      <w:r>
        <w:rPr>
          <w:rFonts w:hint="eastAsia"/>
          <w:b w:val="0"/>
          <w:lang w:val="en-US" w:eastAsia="zh-CN"/>
        </w:rPr>
        <w:t>with/</w:t>
      </w:r>
      <w:r>
        <w:rPr>
          <w:b w:val="0"/>
          <w:lang w:val="en-US" w:eastAsia="zh-CN"/>
        </w:rPr>
        <w:t>without</w:t>
      </w:r>
      <w:r>
        <w:rPr>
          <w:rFonts w:hint="eastAsia"/>
          <w:b w:val="0"/>
          <w:lang w:val="en-US" w:eastAsia="zh-CN"/>
        </w:rPr>
        <w:t xml:space="preserve"> energy saving</w:t>
      </w:r>
      <w:r>
        <w:rPr>
          <w:b w:val="0"/>
          <w:lang w:val="en-US" w:eastAsia="zh-CN"/>
        </w:rPr>
        <w:t xml:space="preserve"> solution </w:t>
      </w:r>
      <w:r>
        <w:rPr>
          <w:rFonts w:hint="eastAsia"/>
          <w:b w:val="0"/>
          <w:lang w:val="en-US" w:eastAsia="zh-CN"/>
        </w:rPr>
        <w:t xml:space="preserve">should be </w:t>
      </w:r>
      <w:r>
        <w:rPr>
          <w:b w:val="0"/>
          <w:lang w:val="en-US" w:eastAsia="zh-CN"/>
        </w:rPr>
        <w:t>evaluated</w:t>
      </w:r>
      <w:r>
        <w:rPr>
          <w:rFonts w:hint="eastAsia"/>
          <w:b w:val="0"/>
          <w:lang w:val="en-US" w:eastAsia="zh-CN"/>
        </w:rPr>
        <w:t xml:space="preserve"> </w:t>
      </w:r>
      <w:r>
        <w:rPr>
          <w:b w:val="0"/>
          <w:lang w:val="en-US" w:eastAsia="zh-CN"/>
        </w:rPr>
        <w:t xml:space="preserve">under the same load </w:t>
      </w:r>
      <w:r>
        <w:rPr>
          <w:rFonts w:hint="eastAsia"/>
          <w:b w:val="0"/>
          <w:lang w:val="en-US" w:eastAsia="zh-CN"/>
        </w:rPr>
        <w:t>scenario</w:t>
      </w:r>
      <w:r>
        <w:rPr>
          <w:b w:val="0"/>
          <w:lang w:val="en-US" w:eastAsia="zh-CN"/>
        </w:rPr>
        <w:t>.</w:t>
      </w:r>
      <w:bookmarkStart w:id="15" w:name="_Toc11536"/>
      <w:r>
        <w:rPr>
          <w:rFonts w:hint="eastAsia"/>
          <w:b w:val="0"/>
        </w:rPr>
        <w:t xml:space="preserve"> </w:t>
      </w:r>
      <w:bookmarkEnd w:id="15"/>
    </w:p>
    <w:p w:rsidR="0048332A" w:rsidRDefault="008337A7">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 xml:space="preserve">Sensing </w:t>
      </w:r>
    </w:p>
    <w:p w:rsidR="0048332A" w:rsidRDefault="008337A7">
      <w:pPr>
        <w:snapToGrid w:val="0"/>
        <w:spacing w:after="120"/>
        <w:rPr>
          <w:rFonts w:eastAsia="Malgun Gothic"/>
          <w:sz w:val="20"/>
          <w:lang w:eastAsia="ko-KR"/>
        </w:rPr>
      </w:pPr>
      <w:r>
        <w:rPr>
          <w:rFonts w:eastAsia="Malgun Gothic"/>
          <w:sz w:val="20"/>
          <w:lang w:eastAsia="ko-KR"/>
        </w:rPr>
        <w:t>ISAC is expected to play an important role in 6G. In this section, we provide our views on sensing use cases, scenarios, performance metrics and requirements.</w:t>
      </w:r>
    </w:p>
    <w:p w:rsidR="0048332A" w:rsidRDefault="008337A7">
      <w:pPr>
        <w:numPr>
          <w:ilvl w:val="2"/>
          <w:numId w:val="1"/>
        </w:numPr>
        <w:snapToGrid w:val="0"/>
        <w:spacing w:before="240" w:afterLines="50" w:after="120"/>
        <w:ind w:left="0" w:firstLine="0"/>
        <w:jc w:val="both"/>
        <w:outlineLvl w:val="2"/>
        <w:rPr>
          <w:b/>
          <w:szCs w:val="28"/>
        </w:rPr>
      </w:pPr>
      <w:r>
        <w:rPr>
          <w:b/>
          <w:szCs w:val="28"/>
        </w:rPr>
        <w:t>Sensing use cases</w:t>
      </w:r>
    </w:p>
    <w:p w:rsidR="0048332A" w:rsidRDefault="008337A7">
      <w:pPr>
        <w:snapToGrid w:val="0"/>
        <w:jc w:val="both"/>
        <w:rPr>
          <w:sz w:val="20"/>
          <w:szCs w:val="20"/>
        </w:rPr>
      </w:pPr>
      <w:r>
        <w:rPr>
          <w:sz w:val="20"/>
          <w:szCs w:val="20"/>
        </w:rPr>
        <w:lastRenderedPageBreak/>
        <w:t>W</w:t>
      </w:r>
      <w:r>
        <w:rPr>
          <w:rFonts w:hint="eastAsia"/>
          <w:sz w:val="20"/>
          <w:szCs w:val="20"/>
        </w:rPr>
        <w:t xml:space="preserve">e provide some ISAC use cases which are very promising to commercialize. Most of them have been well tested in the field trial. </w:t>
      </w:r>
      <w:r>
        <w:rPr>
          <w:sz w:val="20"/>
          <w:szCs w:val="20"/>
        </w:rPr>
        <w:t>T</w:t>
      </w:r>
      <w:r>
        <w:rPr>
          <w:rFonts w:hint="eastAsia"/>
          <w:sz w:val="20"/>
          <w:szCs w:val="20"/>
        </w:rPr>
        <w:t xml:space="preserve">he first four ISAC use cases have been included in SA1 5G-A requirements. Also, the Rel-19 ISAC channel model has supported these four use cases. The last </w:t>
      </w:r>
      <w:r>
        <w:rPr>
          <w:sz w:val="20"/>
          <w:szCs w:val="20"/>
        </w:rPr>
        <w:t>two</w:t>
      </w:r>
      <w:r>
        <w:rPr>
          <w:rFonts w:hint="eastAsia"/>
          <w:sz w:val="20"/>
          <w:szCs w:val="20"/>
        </w:rPr>
        <w:t xml:space="preserve"> use cases</w:t>
      </w:r>
      <w:r>
        <w:rPr>
          <w:sz w:val="20"/>
          <w:szCs w:val="20"/>
        </w:rPr>
        <w:t xml:space="preserve"> including ship detection and tracking and infrastructure collapse monitoring</w:t>
      </w:r>
      <w:r>
        <w:rPr>
          <w:rFonts w:hint="eastAsia"/>
          <w:sz w:val="20"/>
          <w:szCs w:val="20"/>
        </w:rPr>
        <w:t xml:space="preserve"> are promising and useful especially for public safety. </w:t>
      </w:r>
    </w:p>
    <w:p w:rsidR="0048332A" w:rsidRDefault="008337A7">
      <w:pPr>
        <w:snapToGrid w:val="0"/>
        <w:spacing w:beforeLines="50" w:before="120" w:afterLines="50" w:after="120"/>
        <w:jc w:val="both"/>
        <w:rPr>
          <w:bCs/>
          <w:i/>
          <w:sz w:val="20"/>
          <w:szCs w:val="20"/>
        </w:rPr>
      </w:pPr>
      <w:r>
        <w:rPr>
          <w:rFonts w:hint="eastAsia"/>
          <w:b/>
          <w:bCs/>
          <w:i/>
          <w:sz w:val="20"/>
          <w:szCs w:val="20"/>
        </w:rPr>
        <w:t xml:space="preserve">Proposal </w:t>
      </w:r>
      <w:r>
        <w:rPr>
          <w:b/>
          <w:bCs/>
          <w:i/>
          <w:sz w:val="20"/>
          <w:szCs w:val="20"/>
        </w:rPr>
        <w:t>3-2-1</w:t>
      </w:r>
      <w:r>
        <w:rPr>
          <w:rFonts w:hint="eastAsia"/>
          <w:b/>
          <w:bCs/>
          <w:i/>
          <w:sz w:val="20"/>
          <w:szCs w:val="20"/>
        </w:rPr>
        <w:t>:</w:t>
      </w:r>
      <w:r>
        <w:rPr>
          <w:rFonts w:hint="eastAsia"/>
          <w:bCs/>
          <w:i/>
          <w:sz w:val="20"/>
          <w:szCs w:val="20"/>
        </w:rPr>
        <w:t xml:space="preserve"> For 6G ISAC, the applicable use cases should at least include</w:t>
      </w:r>
    </w:p>
    <w:p w:rsidR="0048332A" w:rsidRDefault="008337A7">
      <w:pPr>
        <w:numPr>
          <w:ilvl w:val="0"/>
          <w:numId w:val="16"/>
        </w:numPr>
        <w:snapToGrid w:val="0"/>
        <w:spacing w:beforeLines="50" w:before="120" w:afterLines="50" w:after="120" w:line="276" w:lineRule="auto"/>
        <w:jc w:val="both"/>
        <w:rPr>
          <w:bCs/>
          <w:i/>
          <w:sz w:val="20"/>
          <w:szCs w:val="20"/>
        </w:rPr>
      </w:pPr>
      <w:r>
        <w:rPr>
          <w:rFonts w:hint="eastAsia"/>
          <w:bCs/>
          <w:i/>
          <w:sz w:val="20"/>
          <w:szCs w:val="20"/>
        </w:rPr>
        <w:t>Detection and tracking of UAV, Pedestrian, Vehicle, AGV, and Ship</w:t>
      </w:r>
    </w:p>
    <w:p w:rsidR="0048332A" w:rsidRDefault="008337A7">
      <w:pPr>
        <w:numPr>
          <w:ilvl w:val="0"/>
          <w:numId w:val="16"/>
        </w:numPr>
        <w:snapToGrid w:val="0"/>
        <w:spacing w:beforeLines="50" w:before="120" w:afterLines="50" w:after="120" w:line="276" w:lineRule="auto"/>
        <w:jc w:val="both"/>
        <w:rPr>
          <w:bCs/>
          <w:i/>
          <w:sz w:val="20"/>
          <w:szCs w:val="20"/>
        </w:rPr>
      </w:pPr>
      <w:r>
        <w:rPr>
          <w:rFonts w:hint="eastAsia"/>
          <w:bCs/>
          <w:i/>
          <w:sz w:val="20"/>
          <w:szCs w:val="20"/>
        </w:rPr>
        <w:t>Infrastructure collapse monitoring</w:t>
      </w:r>
    </w:p>
    <w:p w:rsidR="0048332A" w:rsidRDefault="008337A7">
      <w:pPr>
        <w:pStyle w:val="Heading4"/>
        <w:tabs>
          <w:tab w:val="left" w:pos="720"/>
        </w:tabs>
        <w:snapToGrid w:val="0"/>
        <w:spacing w:before="240" w:afterLines="50" w:after="120"/>
        <w:jc w:val="both"/>
        <w:rPr>
          <w:b/>
          <w:sz w:val="22"/>
        </w:rPr>
      </w:pPr>
      <w:r>
        <w:rPr>
          <w:rFonts w:hint="eastAsia"/>
          <w:b/>
          <w:sz w:val="22"/>
        </w:rPr>
        <w:t>3.</w:t>
      </w:r>
      <w:r>
        <w:rPr>
          <w:b/>
          <w:sz w:val="22"/>
        </w:rPr>
        <w:t>2</w:t>
      </w:r>
      <w:r>
        <w:rPr>
          <w:rFonts w:hint="eastAsia"/>
          <w:b/>
          <w:sz w:val="22"/>
        </w:rPr>
        <w:t>.1.</w:t>
      </w:r>
      <w:r>
        <w:rPr>
          <w:b/>
          <w:sz w:val="22"/>
        </w:rPr>
        <w:t>1</w:t>
      </w:r>
      <w:r>
        <w:rPr>
          <w:rFonts w:hint="eastAsia"/>
          <w:b/>
          <w:sz w:val="22"/>
        </w:rPr>
        <w:t xml:space="preserve"> </w:t>
      </w:r>
      <w:r>
        <w:rPr>
          <w:b/>
          <w:sz w:val="22"/>
        </w:rPr>
        <w:t>Ship detection and tracking</w:t>
      </w:r>
    </w:p>
    <w:p w:rsidR="0048332A" w:rsidRDefault="008337A7">
      <w:pPr>
        <w:snapToGrid w:val="0"/>
        <w:jc w:val="both"/>
        <w:rPr>
          <w:sz w:val="20"/>
          <w:szCs w:val="20"/>
        </w:rPr>
      </w:pPr>
      <w:r>
        <w:rPr>
          <w:sz w:val="20"/>
          <w:szCs w:val="20"/>
        </w:rPr>
        <w:t xml:space="preserve">Maritime and inland waterway transportation are the primary means of cargo transport worldwide. Over two-thirds of global international trade volume and approximately 90% of import and export freight are transported by sea and river routes. Ship detection plays an important role in port management, ship traffic, maritime rescue, cargo transportation and so on. Usually, ship detection in nearshore waters and rivers is a crucial scenario. Since </w:t>
      </w:r>
      <w:r w:rsidR="00E66D64">
        <w:rPr>
          <w:sz w:val="20"/>
          <w:szCs w:val="20"/>
        </w:rPr>
        <w:t>BS</w:t>
      </w:r>
      <w:r>
        <w:rPr>
          <w:sz w:val="20"/>
          <w:szCs w:val="20"/>
        </w:rPr>
        <w:t>s are primarily land-based, large sensing coverage is required to ensure effective ship detecting at nearshore areas</w:t>
      </w:r>
      <w:r>
        <w:rPr>
          <w:rFonts w:hint="eastAsia"/>
          <w:sz w:val="20"/>
          <w:szCs w:val="20"/>
        </w:rPr>
        <w:t>.</w:t>
      </w:r>
    </w:p>
    <w:p w:rsidR="0048332A" w:rsidRDefault="008337A7">
      <w:pPr>
        <w:spacing w:after="120"/>
        <w:jc w:val="center"/>
        <w:rPr>
          <w:rFonts w:eastAsia="Malgun Gothic"/>
          <w:lang w:eastAsia="ko-KR"/>
        </w:rPr>
      </w:pPr>
      <w:r>
        <w:rPr>
          <w:noProof/>
        </w:rPr>
        <w:drawing>
          <wp:inline distT="0" distB="0" distL="0" distR="0">
            <wp:extent cx="3723640" cy="1923415"/>
            <wp:effectExtent l="0" t="0" r="0" b="63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7"/>
                    <a:stretch>
                      <a:fillRect/>
                    </a:stretch>
                  </pic:blipFill>
                  <pic:spPr>
                    <a:xfrm>
                      <a:off x="0" y="0"/>
                      <a:ext cx="3723640" cy="1923415"/>
                    </a:xfrm>
                    <a:prstGeom prst="rect">
                      <a:avLst/>
                    </a:prstGeom>
                    <a:noFill/>
                    <a:ln>
                      <a:noFill/>
                    </a:ln>
                  </pic:spPr>
                </pic:pic>
              </a:graphicData>
            </a:graphic>
          </wp:inline>
        </w:drawing>
      </w:r>
    </w:p>
    <w:p w:rsidR="0048332A" w:rsidRDefault="008337A7">
      <w:pPr>
        <w:snapToGrid w:val="0"/>
        <w:spacing w:beforeLines="50" w:before="120" w:afterLines="50" w:after="120"/>
        <w:jc w:val="center"/>
        <w:rPr>
          <w:sz w:val="24"/>
          <w:szCs w:val="24"/>
        </w:rPr>
      </w:pPr>
      <w:r>
        <w:rPr>
          <w:rFonts w:hint="eastAsia"/>
          <w:b/>
          <w:sz w:val="20"/>
          <w:szCs w:val="20"/>
          <w:lang w:eastAsia="en-US"/>
        </w:rPr>
        <w:t>Figure</w:t>
      </w:r>
      <w:r>
        <w:rPr>
          <w:b/>
          <w:sz w:val="20"/>
          <w:szCs w:val="20"/>
          <w:lang w:eastAsia="en-US"/>
        </w:rPr>
        <w:t xml:space="preserve"> 3-2-1</w:t>
      </w:r>
      <w:r>
        <w:t xml:space="preserve"> </w:t>
      </w:r>
      <w:r>
        <w:rPr>
          <w:rFonts w:hint="eastAsia"/>
          <w:sz w:val="20"/>
        </w:rPr>
        <w:t>Ship detection in ocean</w:t>
      </w:r>
    </w:p>
    <w:p w:rsidR="0048332A" w:rsidRDefault="008337A7">
      <w:pPr>
        <w:snapToGrid w:val="0"/>
        <w:spacing w:beforeLines="50" w:before="120" w:afterLines="50" w:after="120"/>
        <w:jc w:val="both"/>
        <w:rPr>
          <w:sz w:val="20"/>
          <w:szCs w:val="20"/>
        </w:rPr>
      </w:pPr>
      <w:r>
        <w:rPr>
          <w:sz w:val="20"/>
          <w:szCs w:val="20"/>
        </w:rPr>
        <w:t>By allowing 6G network to detect and track vessels in real time, ISAC can dramatically improve maritime safety, efficiency, and environmental monitoring. For example, ISAC-enabled networks can support collision avoidance, search and rescue, or the detection of unauthorized vessels even in challenging conditions such as fog or rough seas</w:t>
      </w:r>
      <w:r>
        <w:rPr>
          <w:rFonts w:hint="eastAsia"/>
          <w:sz w:val="20"/>
          <w:szCs w:val="20"/>
        </w:rPr>
        <w:t xml:space="preserve">, the corresponding </w:t>
      </w:r>
      <w:r>
        <w:rPr>
          <w:sz w:val="20"/>
          <w:szCs w:val="20"/>
        </w:rPr>
        <w:t>capabilities are highlighted in the 3GPP TR 22.8</w:t>
      </w:r>
      <w:r>
        <w:rPr>
          <w:rFonts w:hint="eastAsia"/>
          <w:sz w:val="20"/>
          <w:szCs w:val="20"/>
        </w:rPr>
        <w:t>37</w:t>
      </w:r>
      <w:r>
        <w:rPr>
          <w:sz w:val="20"/>
          <w:szCs w:val="20"/>
        </w:rPr>
        <w:t xml:space="preserve"> </w:t>
      </w:r>
      <w:r>
        <w:rPr>
          <w:sz w:val="20"/>
          <w:szCs w:val="20"/>
        </w:rPr>
        <w:fldChar w:fldCharType="begin"/>
      </w:r>
      <w:r>
        <w:rPr>
          <w:sz w:val="20"/>
          <w:szCs w:val="20"/>
        </w:rPr>
        <w:instrText xml:space="preserve"> REF _Ref205924912 \n \h </w:instrText>
      </w:r>
      <w:r>
        <w:rPr>
          <w:sz w:val="20"/>
          <w:szCs w:val="20"/>
        </w:rPr>
      </w:r>
      <w:r>
        <w:rPr>
          <w:sz w:val="20"/>
          <w:szCs w:val="20"/>
        </w:rPr>
        <w:fldChar w:fldCharType="separate"/>
      </w:r>
      <w:r w:rsidR="00FD4494">
        <w:rPr>
          <w:sz w:val="20"/>
          <w:szCs w:val="20"/>
        </w:rPr>
        <w:t>[10]</w:t>
      </w:r>
      <w:r>
        <w:rPr>
          <w:sz w:val="20"/>
          <w:szCs w:val="20"/>
        </w:rPr>
        <w:fldChar w:fldCharType="end"/>
      </w:r>
      <w:r>
        <w:rPr>
          <w:rFonts w:hint="eastAsia"/>
          <w:sz w:val="20"/>
          <w:szCs w:val="20"/>
        </w:rPr>
        <w:t>.</w:t>
      </w:r>
    </w:p>
    <w:p w:rsidR="0048332A" w:rsidRDefault="008337A7">
      <w:pPr>
        <w:snapToGrid w:val="0"/>
        <w:spacing w:beforeLines="50" w:before="120" w:afterLines="50" w:after="120"/>
        <w:jc w:val="both"/>
        <w:rPr>
          <w:sz w:val="20"/>
          <w:szCs w:val="20"/>
        </w:rPr>
      </w:pPr>
      <w:r>
        <w:rPr>
          <w:sz w:val="20"/>
          <w:szCs w:val="20"/>
        </w:rPr>
        <w:t>From a commercial perspective, the prospects are highly promising. The maritime industry is undergoing rapid digital transformation, driven by the need for better security, smarter port operations, and stricter environmental regulations. Market research predicts that the global maritime surveillance sector will grow to over $35 billion by 2029, fueled in part by demand for real-time, network-based sensing and tracking</w:t>
      </w:r>
      <w:r>
        <w:rPr>
          <w:rFonts w:hint="eastAsia"/>
          <w:sz w:val="20"/>
          <w:szCs w:val="20"/>
        </w:rPr>
        <w:t xml:space="preserve"> </w:t>
      </w:r>
      <w:r>
        <w:rPr>
          <w:sz w:val="20"/>
          <w:szCs w:val="20"/>
        </w:rPr>
        <w:fldChar w:fldCharType="begin"/>
      </w:r>
      <w:r>
        <w:rPr>
          <w:sz w:val="20"/>
          <w:szCs w:val="20"/>
        </w:rPr>
        <w:instrText xml:space="preserve"> </w:instrText>
      </w:r>
      <w:r>
        <w:rPr>
          <w:rFonts w:hint="eastAsia"/>
          <w:sz w:val="20"/>
          <w:szCs w:val="20"/>
        </w:rPr>
        <w:instrText>REF _Ref205924922 \n \h</w:instrText>
      </w:r>
      <w:r>
        <w:rPr>
          <w:sz w:val="20"/>
          <w:szCs w:val="20"/>
        </w:rPr>
        <w:instrText xml:space="preserve"> </w:instrText>
      </w:r>
      <w:r>
        <w:rPr>
          <w:sz w:val="20"/>
          <w:szCs w:val="20"/>
        </w:rPr>
      </w:r>
      <w:r>
        <w:rPr>
          <w:sz w:val="20"/>
          <w:szCs w:val="20"/>
        </w:rPr>
        <w:fldChar w:fldCharType="separate"/>
      </w:r>
      <w:r w:rsidR="00FD4494">
        <w:rPr>
          <w:sz w:val="20"/>
          <w:szCs w:val="20"/>
        </w:rPr>
        <w:t>[11]</w:t>
      </w:r>
      <w:r>
        <w:rPr>
          <w:sz w:val="20"/>
          <w:szCs w:val="20"/>
        </w:rPr>
        <w:fldChar w:fldCharType="end"/>
      </w:r>
      <w:r>
        <w:rPr>
          <w:sz w:val="20"/>
          <w:szCs w:val="20"/>
        </w:rPr>
        <w:t>. ISAC offers a cost-effective solution by combining communication and sensing infrastructure, enabling operators and authorities to extend surveillance coverage without the high costs of traditional radar or satellite systems.</w:t>
      </w:r>
    </w:p>
    <w:p w:rsidR="0048332A" w:rsidRDefault="008337A7">
      <w:pPr>
        <w:snapToGrid w:val="0"/>
        <w:spacing w:beforeLines="50" w:before="120" w:afterLines="50" w:after="120"/>
        <w:jc w:val="both"/>
        <w:rPr>
          <w:sz w:val="20"/>
          <w:szCs w:val="20"/>
        </w:rPr>
      </w:pPr>
      <w:r>
        <w:rPr>
          <w:sz w:val="20"/>
          <w:szCs w:val="20"/>
        </w:rPr>
        <w:t xml:space="preserve">Moreover, as noted in </w:t>
      </w:r>
      <w:r>
        <w:rPr>
          <w:sz w:val="20"/>
          <w:szCs w:val="20"/>
        </w:rPr>
        <w:fldChar w:fldCharType="begin"/>
      </w:r>
      <w:r>
        <w:rPr>
          <w:sz w:val="20"/>
          <w:szCs w:val="20"/>
        </w:rPr>
        <w:instrText xml:space="preserve"> </w:instrText>
      </w:r>
      <w:r>
        <w:rPr>
          <w:rFonts w:hint="eastAsia"/>
          <w:sz w:val="20"/>
          <w:szCs w:val="20"/>
        </w:rPr>
        <w:instrText>REF _Ref205924942 \n \h</w:instrText>
      </w:r>
      <w:r>
        <w:rPr>
          <w:sz w:val="20"/>
          <w:szCs w:val="20"/>
        </w:rPr>
        <w:instrText xml:space="preserve"> </w:instrText>
      </w:r>
      <w:r>
        <w:rPr>
          <w:sz w:val="20"/>
          <w:szCs w:val="20"/>
        </w:rPr>
      </w:r>
      <w:r>
        <w:rPr>
          <w:sz w:val="20"/>
          <w:szCs w:val="20"/>
        </w:rPr>
        <w:fldChar w:fldCharType="separate"/>
      </w:r>
      <w:r w:rsidR="00FD4494">
        <w:rPr>
          <w:sz w:val="20"/>
          <w:szCs w:val="20"/>
        </w:rPr>
        <w:t>[12]</w:t>
      </w:r>
      <w:r>
        <w:rPr>
          <w:sz w:val="20"/>
          <w:szCs w:val="20"/>
        </w:rPr>
        <w:fldChar w:fldCharType="end"/>
      </w:r>
      <w:r>
        <w:rPr>
          <w:sz w:val="20"/>
          <w:szCs w:val="20"/>
        </w:rPr>
        <w:t>, ISAC’s ability to leverage existing and future mobile networks makes it particularly attractive for ports and coastal regions. This positions ISAC as a key enabler for smarter, safer, and more sustainable maritime operations, with clear and growing business opportunities for network operators, equipment vendors, and maritime stakeholders alike.</w:t>
      </w:r>
    </w:p>
    <w:p w:rsidR="0048332A" w:rsidRDefault="008337A7">
      <w:pPr>
        <w:snapToGrid w:val="0"/>
        <w:jc w:val="center"/>
        <w:rPr>
          <w:sz w:val="20"/>
          <w:szCs w:val="20"/>
        </w:rPr>
      </w:pPr>
      <w:r>
        <w:rPr>
          <w:b/>
          <w:sz w:val="20"/>
          <w:szCs w:val="20"/>
          <w:lang w:eastAsia="en-US"/>
        </w:rPr>
        <w:t>Table 3-2-1</w:t>
      </w:r>
      <w:r>
        <w:rPr>
          <w:sz w:val="20"/>
          <w:szCs w:val="20"/>
        </w:rPr>
        <w:t xml:space="preserve"> </w:t>
      </w:r>
      <w:r>
        <w:rPr>
          <w:rFonts w:hint="eastAsia"/>
          <w:sz w:val="20"/>
          <w:szCs w:val="20"/>
        </w:rPr>
        <w:t>Estimation of market of ISAC enabled ship detection and maritime surveillance</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286"/>
        <w:gridCol w:w="1828"/>
      </w:tblGrid>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rFonts w:hint="eastAsia"/>
                <w:b/>
                <w:bCs/>
                <w:sz w:val="20"/>
                <w:szCs w:val="20"/>
              </w:rPr>
              <w:t>Market Segment</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b/>
                <w:bCs/>
                <w:sz w:val="20"/>
                <w:szCs w:val="20"/>
              </w:rPr>
              <w:t>Estimated Value / Growth</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b/>
                <w:bCs/>
                <w:sz w:val="20"/>
                <w:szCs w:val="20"/>
              </w:rPr>
              <w:t>Timeframe</w:t>
            </w:r>
          </w:p>
        </w:tc>
      </w:tr>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Maritime Surveillance</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USD 35.7 billion (market size)</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hint="eastAsia"/>
                <w:sz w:val="20"/>
                <w:szCs w:val="20"/>
              </w:rPr>
              <w:t xml:space="preserve">By 2029 </w:t>
            </w:r>
            <w:r>
              <w:rPr>
                <w:sz w:val="20"/>
                <w:szCs w:val="20"/>
              </w:rPr>
              <w:fldChar w:fldCharType="begin"/>
            </w:r>
            <w:r>
              <w:rPr>
                <w:sz w:val="20"/>
                <w:szCs w:val="20"/>
              </w:rPr>
              <w:instrText xml:space="preserve"> </w:instrText>
            </w:r>
            <w:r>
              <w:rPr>
                <w:rFonts w:hint="eastAsia"/>
                <w:sz w:val="20"/>
                <w:szCs w:val="20"/>
              </w:rPr>
              <w:instrText>REF _Ref205924922 \n \h</w:instrText>
            </w:r>
            <w:r>
              <w:rPr>
                <w:sz w:val="20"/>
                <w:szCs w:val="20"/>
              </w:rPr>
              <w:instrText xml:space="preserve"> </w:instrText>
            </w:r>
            <w:r>
              <w:rPr>
                <w:sz w:val="20"/>
                <w:szCs w:val="20"/>
              </w:rPr>
            </w:r>
            <w:r>
              <w:rPr>
                <w:sz w:val="20"/>
                <w:szCs w:val="20"/>
              </w:rPr>
              <w:fldChar w:fldCharType="separate"/>
            </w:r>
            <w:r w:rsidR="00FD4494">
              <w:rPr>
                <w:sz w:val="20"/>
                <w:szCs w:val="20"/>
              </w:rPr>
              <w:t>[11]</w:t>
            </w:r>
            <w:r>
              <w:rPr>
                <w:sz w:val="20"/>
                <w:szCs w:val="20"/>
              </w:rPr>
              <w:fldChar w:fldCharType="end"/>
            </w:r>
          </w:p>
        </w:tc>
      </w:tr>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Smart Ports &amp; Shipping</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USD 9.8 billion (market size)</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hint="eastAsia"/>
                <w:sz w:val="20"/>
                <w:szCs w:val="20"/>
              </w:rPr>
              <w:t xml:space="preserve">By 2027 </w:t>
            </w:r>
            <w:r>
              <w:rPr>
                <w:sz w:val="20"/>
                <w:szCs w:val="20"/>
              </w:rPr>
              <w:fldChar w:fldCharType="begin"/>
            </w:r>
            <w:r>
              <w:rPr>
                <w:sz w:val="20"/>
                <w:szCs w:val="20"/>
              </w:rPr>
              <w:instrText xml:space="preserve"> </w:instrText>
            </w:r>
            <w:r>
              <w:rPr>
                <w:rFonts w:hint="eastAsia"/>
                <w:sz w:val="20"/>
                <w:szCs w:val="20"/>
              </w:rPr>
              <w:instrText>REF _Ref205924942 \n \h</w:instrText>
            </w:r>
            <w:r>
              <w:rPr>
                <w:sz w:val="20"/>
                <w:szCs w:val="20"/>
              </w:rPr>
              <w:instrText xml:space="preserve"> </w:instrText>
            </w:r>
            <w:r>
              <w:rPr>
                <w:sz w:val="20"/>
                <w:szCs w:val="20"/>
              </w:rPr>
            </w:r>
            <w:r>
              <w:rPr>
                <w:sz w:val="20"/>
                <w:szCs w:val="20"/>
              </w:rPr>
              <w:fldChar w:fldCharType="separate"/>
            </w:r>
            <w:r w:rsidR="00FD4494">
              <w:rPr>
                <w:sz w:val="20"/>
                <w:szCs w:val="20"/>
              </w:rPr>
              <w:t>[12]</w:t>
            </w:r>
            <w:r>
              <w:rPr>
                <w:sz w:val="20"/>
                <w:szCs w:val="20"/>
              </w:rPr>
              <w:fldChar w:fldCharType="end"/>
            </w:r>
          </w:p>
        </w:tc>
      </w:tr>
    </w:tbl>
    <w:p w:rsidR="0048332A" w:rsidRDefault="008337A7">
      <w:pPr>
        <w:pStyle w:val="Heading4"/>
        <w:tabs>
          <w:tab w:val="left" w:pos="720"/>
        </w:tabs>
        <w:snapToGrid w:val="0"/>
        <w:spacing w:before="240" w:afterLines="50" w:after="120"/>
        <w:jc w:val="both"/>
        <w:rPr>
          <w:b/>
          <w:sz w:val="22"/>
        </w:rPr>
      </w:pPr>
      <w:r>
        <w:rPr>
          <w:rFonts w:hint="eastAsia"/>
          <w:b/>
          <w:sz w:val="22"/>
        </w:rPr>
        <w:t>3.</w:t>
      </w:r>
      <w:r>
        <w:rPr>
          <w:b/>
          <w:sz w:val="22"/>
        </w:rPr>
        <w:t>2</w:t>
      </w:r>
      <w:r>
        <w:rPr>
          <w:rFonts w:hint="eastAsia"/>
          <w:b/>
          <w:sz w:val="22"/>
        </w:rPr>
        <w:t>.1.</w:t>
      </w:r>
      <w:r>
        <w:rPr>
          <w:b/>
          <w:sz w:val="22"/>
        </w:rPr>
        <w:t>2</w:t>
      </w:r>
      <w:r>
        <w:rPr>
          <w:rFonts w:hint="eastAsia"/>
          <w:b/>
          <w:sz w:val="22"/>
        </w:rPr>
        <w:t xml:space="preserve"> </w:t>
      </w:r>
      <w:r>
        <w:rPr>
          <w:b/>
          <w:sz w:val="22"/>
        </w:rPr>
        <w:t>Infrastructure collapse monitoring</w:t>
      </w:r>
    </w:p>
    <w:p w:rsidR="0048332A" w:rsidRDefault="008337A7">
      <w:pPr>
        <w:snapToGrid w:val="0"/>
        <w:spacing w:beforeLines="50" w:before="120" w:afterLines="50" w:after="120"/>
        <w:jc w:val="both"/>
        <w:rPr>
          <w:sz w:val="20"/>
          <w:szCs w:val="20"/>
        </w:rPr>
      </w:pPr>
      <w:r>
        <w:rPr>
          <w:rFonts w:hint="eastAsia"/>
          <w:sz w:val="20"/>
          <w:szCs w:val="20"/>
        </w:rPr>
        <w:t>I</w:t>
      </w:r>
      <w:r>
        <w:rPr>
          <w:sz w:val="20"/>
          <w:szCs w:val="20"/>
        </w:rPr>
        <w:t xml:space="preserve">SAC has the potential to revolutionize how we respond to sudden </w:t>
      </w:r>
      <w:r>
        <w:rPr>
          <w:rFonts w:hint="eastAsia"/>
          <w:sz w:val="20"/>
          <w:szCs w:val="20"/>
        </w:rPr>
        <w:t xml:space="preserve">infrastructure collapse </w:t>
      </w:r>
      <w:r>
        <w:rPr>
          <w:sz w:val="20"/>
          <w:szCs w:val="20"/>
        </w:rPr>
        <w:t xml:space="preserve">such as subsidence and landslides, especially in critical environments like highways, farmlands, and so on. In these scenarios, the rapid </w:t>
      </w:r>
      <w:r>
        <w:rPr>
          <w:sz w:val="20"/>
          <w:szCs w:val="20"/>
        </w:rPr>
        <w:lastRenderedPageBreak/>
        <w:t xml:space="preserve">detection and precise localization of a disaster event are crucial for saving lives and minimizing property loss. Traditional monitoring systems, such as cameras or standalone sensors, often suffer from coverage gaps and delayed reporting. In contrast, ISAC-enabled </w:t>
      </w:r>
      <w:r w:rsidR="00E66D64">
        <w:rPr>
          <w:sz w:val="20"/>
          <w:szCs w:val="20"/>
        </w:rPr>
        <w:t>BS</w:t>
      </w:r>
      <w:r>
        <w:rPr>
          <w:sz w:val="20"/>
          <w:szCs w:val="20"/>
        </w:rPr>
        <w:t>s can simultaneously monitor ground movement while providing real-time communication services.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8332A">
        <w:trPr>
          <w:jc w:val="center"/>
        </w:trPr>
        <w:tc>
          <w:tcPr>
            <w:tcW w:w="3116" w:type="dxa"/>
          </w:tcPr>
          <w:p w:rsidR="0048332A" w:rsidRDefault="008337A7">
            <w:pPr>
              <w:snapToGrid w:val="0"/>
              <w:spacing w:beforeLines="50" w:before="120" w:afterLines="50" w:after="120"/>
              <w:jc w:val="both"/>
              <w:rPr>
                <w:sz w:val="24"/>
                <w:szCs w:val="24"/>
              </w:rPr>
            </w:pPr>
            <w:r>
              <w:rPr>
                <w:noProof/>
              </w:rPr>
              <w:drawing>
                <wp:inline distT="0" distB="0" distL="0" distR="0">
                  <wp:extent cx="1680210" cy="1136650"/>
                  <wp:effectExtent l="0" t="0" r="0" b="635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8"/>
                          <a:stretch>
                            <a:fillRect/>
                          </a:stretch>
                        </pic:blipFill>
                        <pic:spPr>
                          <a:xfrm>
                            <a:off x="0" y="0"/>
                            <a:ext cx="1685667" cy="1140360"/>
                          </a:xfrm>
                          <a:prstGeom prst="rect">
                            <a:avLst/>
                          </a:prstGeom>
                          <a:noFill/>
                          <a:ln>
                            <a:noFill/>
                          </a:ln>
                        </pic:spPr>
                      </pic:pic>
                    </a:graphicData>
                  </a:graphic>
                </wp:inline>
              </w:drawing>
            </w:r>
          </w:p>
        </w:tc>
        <w:tc>
          <w:tcPr>
            <w:tcW w:w="3117" w:type="dxa"/>
          </w:tcPr>
          <w:p w:rsidR="0048332A" w:rsidRDefault="008337A7">
            <w:pPr>
              <w:snapToGrid w:val="0"/>
              <w:spacing w:beforeLines="50" w:before="120" w:afterLines="50" w:after="120"/>
              <w:jc w:val="both"/>
              <w:rPr>
                <w:sz w:val="24"/>
                <w:szCs w:val="24"/>
              </w:rPr>
            </w:pPr>
            <w:r>
              <w:rPr>
                <w:noProof/>
              </w:rPr>
              <w:drawing>
                <wp:inline distT="0" distB="0" distL="0" distR="0">
                  <wp:extent cx="1796415" cy="10306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1804987" cy="1035383"/>
                          </a:xfrm>
                          <a:prstGeom prst="rect">
                            <a:avLst/>
                          </a:prstGeom>
                          <a:noFill/>
                          <a:ln>
                            <a:noFill/>
                          </a:ln>
                        </pic:spPr>
                      </pic:pic>
                    </a:graphicData>
                  </a:graphic>
                </wp:inline>
              </w:drawing>
            </w:r>
          </w:p>
        </w:tc>
        <w:tc>
          <w:tcPr>
            <w:tcW w:w="3117" w:type="dxa"/>
          </w:tcPr>
          <w:p w:rsidR="0048332A" w:rsidRDefault="008337A7">
            <w:pPr>
              <w:snapToGrid w:val="0"/>
              <w:spacing w:beforeLines="50" w:before="120" w:afterLines="50" w:after="120"/>
              <w:jc w:val="both"/>
              <w:rPr>
                <w:sz w:val="24"/>
                <w:szCs w:val="24"/>
              </w:rPr>
            </w:pPr>
            <w:r>
              <w:rPr>
                <w:noProof/>
              </w:rPr>
              <w:drawing>
                <wp:inline distT="0" distB="0" distL="0" distR="0">
                  <wp:extent cx="1823720" cy="1030605"/>
                  <wp:effectExtent l="0" t="0" r="508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20"/>
                          <a:stretch>
                            <a:fillRect/>
                          </a:stretch>
                        </pic:blipFill>
                        <pic:spPr>
                          <a:xfrm>
                            <a:off x="0" y="0"/>
                            <a:ext cx="1830926" cy="1034413"/>
                          </a:xfrm>
                          <a:prstGeom prst="rect">
                            <a:avLst/>
                          </a:prstGeom>
                          <a:noFill/>
                          <a:ln>
                            <a:noFill/>
                          </a:ln>
                        </pic:spPr>
                      </pic:pic>
                    </a:graphicData>
                  </a:graphic>
                </wp:inline>
              </w:drawing>
            </w:r>
          </w:p>
        </w:tc>
      </w:tr>
    </w:tbl>
    <w:p w:rsidR="0048332A" w:rsidRDefault="008337A7">
      <w:pPr>
        <w:snapToGrid w:val="0"/>
        <w:spacing w:beforeLines="50" w:before="120" w:afterLines="50" w:after="120"/>
        <w:jc w:val="center"/>
        <w:rPr>
          <w:sz w:val="24"/>
          <w:szCs w:val="24"/>
        </w:rPr>
      </w:pPr>
      <w:r>
        <w:rPr>
          <w:rFonts w:hint="eastAsia"/>
          <w:b/>
          <w:sz w:val="20"/>
          <w:szCs w:val="20"/>
          <w:lang w:eastAsia="en-US"/>
        </w:rPr>
        <w:t>Figure</w:t>
      </w:r>
      <w:r>
        <w:rPr>
          <w:b/>
          <w:sz w:val="20"/>
          <w:szCs w:val="20"/>
          <w:lang w:eastAsia="en-US"/>
        </w:rPr>
        <w:t xml:space="preserve"> 3-2-2</w:t>
      </w:r>
      <w:r>
        <w:t xml:space="preserve"> An illustration for </w:t>
      </w:r>
      <w:r>
        <w:rPr>
          <w:rFonts w:hint="eastAsia"/>
        </w:rPr>
        <w:t>infrastructure collapse</w:t>
      </w:r>
    </w:p>
    <w:p w:rsidR="0048332A" w:rsidRDefault="008337A7">
      <w:pPr>
        <w:snapToGrid w:val="0"/>
        <w:spacing w:beforeLines="50" w:before="120" w:afterLines="50" w:after="120"/>
        <w:jc w:val="both"/>
        <w:rPr>
          <w:rFonts w:eastAsia="t"/>
          <w:sz w:val="20"/>
        </w:rPr>
      </w:pPr>
      <w:r>
        <w:rPr>
          <w:sz w:val="20"/>
        </w:rPr>
        <w:t xml:space="preserve">For example, if a landslide or sudden road collapse occurs on a highway, nearby ISAC-capable </w:t>
      </w:r>
      <w:r w:rsidR="00E66D64">
        <w:rPr>
          <w:sz w:val="20"/>
        </w:rPr>
        <w:t>BS</w:t>
      </w:r>
      <w:r>
        <w:rPr>
          <w:sz w:val="20"/>
        </w:rPr>
        <w:t>s can immediately sense the structural anomaly using their radio signals</w:t>
      </w:r>
      <w:r>
        <w:rPr>
          <w:rFonts w:hint="eastAsia"/>
          <w:sz w:val="20"/>
        </w:rPr>
        <w:t xml:space="preserve"> - </w:t>
      </w:r>
      <w:r>
        <w:rPr>
          <w:sz w:val="20"/>
        </w:rPr>
        <w:t>such as by detecting abnormal changes in signal reflection or propagation. This information can then be instantly communicated to vehicles and personnel in the vicinity, triggering automated warnings and rerouting instructions. Such rapid response is critical, as drivers may not have enough time to react if they only notice a hazard visually, especially at high speeds. In rural or agricultural zones, ISAC can also help protect equipment and workers from unexpected ground failures.</w:t>
      </w:r>
    </w:p>
    <w:p w:rsidR="0048332A" w:rsidRDefault="008337A7">
      <w:pPr>
        <w:snapToGrid w:val="0"/>
        <w:spacing w:beforeLines="50" w:before="120" w:afterLines="50" w:after="120"/>
        <w:jc w:val="center"/>
        <w:rPr>
          <w:sz w:val="24"/>
          <w:szCs w:val="24"/>
        </w:rPr>
      </w:pPr>
      <w:r>
        <w:rPr>
          <w:noProof/>
        </w:rPr>
        <w:drawing>
          <wp:inline distT="0" distB="0" distL="0" distR="0">
            <wp:extent cx="3234690" cy="2163445"/>
            <wp:effectExtent l="0" t="0" r="3810" b="825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1"/>
                    <a:stretch>
                      <a:fillRect/>
                    </a:stretch>
                  </pic:blipFill>
                  <pic:spPr>
                    <a:xfrm>
                      <a:off x="0" y="0"/>
                      <a:ext cx="3234690" cy="2163445"/>
                    </a:xfrm>
                    <a:prstGeom prst="rect">
                      <a:avLst/>
                    </a:prstGeom>
                    <a:noFill/>
                    <a:ln>
                      <a:noFill/>
                    </a:ln>
                  </pic:spPr>
                </pic:pic>
              </a:graphicData>
            </a:graphic>
          </wp:inline>
        </w:drawing>
      </w:r>
      <w:r>
        <w:rPr>
          <w:noProof/>
        </w:rPr>
        <w:drawing>
          <wp:inline distT="0" distB="0" distL="0" distR="0">
            <wp:extent cx="2494915" cy="2154555"/>
            <wp:effectExtent l="0" t="0" r="635" b="0"/>
            <wp:docPr id="11" name="图片 5"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A diagram of a farm&#10;&#10;AI-generated content may be incorrect."/>
                    <pic:cNvPicPr>
                      <a:picLocks noChangeAspect="1"/>
                    </pic:cNvPicPr>
                  </pic:nvPicPr>
                  <pic:blipFill>
                    <a:blip r:embed="rId22"/>
                    <a:stretch>
                      <a:fillRect/>
                    </a:stretch>
                  </pic:blipFill>
                  <pic:spPr>
                    <a:xfrm>
                      <a:off x="0" y="0"/>
                      <a:ext cx="2494915" cy="2154555"/>
                    </a:xfrm>
                    <a:prstGeom prst="rect">
                      <a:avLst/>
                    </a:prstGeom>
                    <a:noFill/>
                    <a:ln>
                      <a:noFill/>
                    </a:ln>
                  </pic:spPr>
                </pic:pic>
              </a:graphicData>
            </a:graphic>
          </wp:inline>
        </w:drawing>
      </w:r>
    </w:p>
    <w:p w:rsidR="0048332A" w:rsidRDefault="008337A7">
      <w:pPr>
        <w:snapToGrid w:val="0"/>
        <w:spacing w:beforeLines="50" w:before="120" w:afterLines="50" w:after="120"/>
        <w:jc w:val="center"/>
        <w:rPr>
          <w:sz w:val="20"/>
          <w:szCs w:val="20"/>
        </w:rPr>
      </w:pPr>
      <w:r>
        <w:rPr>
          <w:rFonts w:hint="eastAsia"/>
          <w:b/>
          <w:sz w:val="20"/>
          <w:szCs w:val="20"/>
          <w:lang w:eastAsia="en-US"/>
        </w:rPr>
        <w:t>Figure</w:t>
      </w:r>
      <w:r>
        <w:rPr>
          <w:b/>
          <w:sz w:val="20"/>
          <w:szCs w:val="20"/>
          <w:lang w:eastAsia="en-US"/>
        </w:rPr>
        <w:t xml:space="preserve"> 3-2-3</w:t>
      </w:r>
      <w:r>
        <w:rPr>
          <w:sz w:val="20"/>
          <w:szCs w:val="20"/>
        </w:rPr>
        <w:t xml:space="preserve"> </w:t>
      </w:r>
      <w:r>
        <w:rPr>
          <w:rFonts w:hint="eastAsia"/>
          <w:sz w:val="20"/>
          <w:szCs w:val="20"/>
        </w:rPr>
        <w:t>Infrastructure collapse</w:t>
      </w:r>
      <w:r>
        <w:rPr>
          <w:sz w:val="20"/>
          <w:szCs w:val="20"/>
        </w:rPr>
        <w:t xml:space="preserve"> monitoring</w:t>
      </w:r>
    </w:p>
    <w:p w:rsidR="0048332A" w:rsidRDefault="008337A7">
      <w:pPr>
        <w:snapToGrid w:val="0"/>
        <w:spacing w:beforeLines="50" w:before="120" w:afterLines="50" w:after="120"/>
        <w:jc w:val="both"/>
        <w:rPr>
          <w:szCs w:val="24"/>
        </w:rPr>
      </w:pPr>
      <w:r>
        <w:rPr>
          <w:sz w:val="20"/>
        </w:rPr>
        <w:t xml:space="preserve">The commercial outlook for this use case is highly positive. With growing awareness of climate change and the increasing frequency of extreme weather events, there is a rising demand for intelligent, network-based disaster monitoring systems. Industry analysts predict robust growth in the smart disaster management market, with ISAC technologies expected to play a key role in enhancing early warning capabilities and reducing the costs associated with manual monitoring and dedicated sensor infrastructure. According to a </w:t>
      </w:r>
      <w:proofErr w:type="spellStart"/>
      <w:r>
        <w:rPr>
          <w:i/>
          <w:sz w:val="20"/>
        </w:rPr>
        <w:t>MarketsandMarkets</w:t>
      </w:r>
      <w:proofErr w:type="spellEnd"/>
      <w:r>
        <w:rPr>
          <w:sz w:val="20"/>
        </w:rPr>
        <w:t xml:space="preserve"> report, the global disaster management market is projected to reach USD 222.2 billion by 2027 </w:t>
      </w:r>
      <w:r>
        <w:rPr>
          <w:sz w:val="20"/>
        </w:rPr>
        <w:fldChar w:fldCharType="begin"/>
      </w:r>
      <w:r>
        <w:rPr>
          <w:sz w:val="20"/>
        </w:rPr>
        <w:instrText xml:space="preserve"> REF _Ref205924974 \n \h </w:instrText>
      </w:r>
      <w:r>
        <w:rPr>
          <w:sz w:val="20"/>
        </w:rPr>
      </w:r>
      <w:r>
        <w:rPr>
          <w:sz w:val="20"/>
        </w:rPr>
        <w:fldChar w:fldCharType="separate"/>
      </w:r>
      <w:r w:rsidR="00FD4494">
        <w:rPr>
          <w:sz w:val="20"/>
        </w:rPr>
        <w:t>[13]</w:t>
      </w:r>
      <w:r>
        <w:rPr>
          <w:sz w:val="20"/>
        </w:rPr>
        <w:fldChar w:fldCharType="end"/>
      </w:r>
      <w:r>
        <w:rPr>
          <w:sz w:val="20"/>
        </w:rPr>
        <w:t xml:space="preserve">, with a significant portion driven by rapid sensing and alerting solutions. </w:t>
      </w:r>
    </w:p>
    <w:p w:rsidR="0048332A" w:rsidRDefault="008337A7">
      <w:pPr>
        <w:snapToGrid w:val="0"/>
        <w:jc w:val="center"/>
      </w:pPr>
      <w:r>
        <w:rPr>
          <w:b/>
          <w:sz w:val="20"/>
          <w:szCs w:val="20"/>
          <w:lang w:eastAsia="en-US"/>
        </w:rPr>
        <w:t>Table 3-2-2</w:t>
      </w:r>
      <w:r>
        <w:rPr>
          <w:sz w:val="20"/>
          <w:szCs w:val="20"/>
        </w:rPr>
        <w:t xml:space="preserve"> </w:t>
      </w:r>
      <w:r>
        <w:rPr>
          <w:rFonts w:hint="eastAsia"/>
          <w:sz w:val="20"/>
        </w:rPr>
        <w:t>Estimation of market of infrastructure collapse</w:t>
      </w:r>
      <w:r>
        <w:rPr>
          <w:rFonts w:hint="eastAsia"/>
          <w:bCs/>
          <w:sz w:val="20"/>
        </w:rPr>
        <w:t xml:space="preserve"> monitoring</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3286"/>
        <w:gridCol w:w="1828"/>
      </w:tblGrid>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rFonts w:hint="eastAsia"/>
                <w:b/>
                <w:bCs/>
                <w:sz w:val="20"/>
                <w:szCs w:val="20"/>
              </w:rPr>
              <w:t>Market Segment</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b/>
                <w:bCs/>
                <w:sz w:val="20"/>
                <w:szCs w:val="20"/>
              </w:rPr>
              <w:t>Estimated Value / Growth</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b/>
                <w:bCs/>
                <w:sz w:val="20"/>
                <w:szCs w:val="20"/>
              </w:rPr>
            </w:pPr>
            <w:r>
              <w:rPr>
                <w:b/>
                <w:bCs/>
                <w:sz w:val="20"/>
                <w:szCs w:val="20"/>
              </w:rPr>
              <w:t>Timeframe</w:t>
            </w:r>
          </w:p>
        </w:tc>
      </w:tr>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Disaster Management</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USD 222.2 billion (market size)</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hint="eastAsia"/>
                <w:sz w:val="20"/>
                <w:szCs w:val="20"/>
              </w:rPr>
              <w:t xml:space="preserve">By 2027 </w:t>
            </w:r>
            <w:r>
              <w:rPr>
                <w:sz w:val="20"/>
              </w:rPr>
              <w:fldChar w:fldCharType="begin"/>
            </w:r>
            <w:r>
              <w:rPr>
                <w:sz w:val="20"/>
              </w:rPr>
              <w:instrText xml:space="preserve"> REF _Ref205924974 \n \h </w:instrText>
            </w:r>
            <w:r>
              <w:rPr>
                <w:sz w:val="20"/>
              </w:rPr>
            </w:r>
            <w:r>
              <w:rPr>
                <w:sz w:val="20"/>
              </w:rPr>
              <w:fldChar w:fldCharType="separate"/>
            </w:r>
            <w:r w:rsidR="00FD4494">
              <w:rPr>
                <w:sz w:val="20"/>
              </w:rPr>
              <w:t>[13]</w:t>
            </w:r>
            <w:r>
              <w:rPr>
                <w:sz w:val="20"/>
              </w:rPr>
              <w:fldChar w:fldCharType="end"/>
            </w:r>
          </w:p>
        </w:tc>
      </w:tr>
      <w:tr w:rsidR="0048332A">
        <w:trPr>
          <w:jc w:val="center"/>
        </w:trPr>
        <w:tc>
          <w:tcPr>
            <w:tcW w:w="2880"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Smart Sensing for Geological Hazards</w:t>
            </w:r>
          </w:p>
        </w:tc>
        <w:tc>
          <w:tcPr>
            <w:tcW w:w="3286"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sz w:val="20"/>
                <w:szCs w:val="20"/>
              </w:rPr>
              <w:t>Multi-billion USD (market size)</w:t>
            </w:r>
          </w:p>
        </w:tc>
        <w:tc>
          <w:tcPr>
            <w:tcW w:w="1828"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hint="eastAsia"/>
                <w:sz w:val="20"/>
                <w:szCs w:val="20"/>
              </w:rPr>
              <w:t xml:space="preserve">By early 2030s </w:t>
            </w:r>
            <w:r>
              <w:rPr>
                <w:sz w:val="20"/>
                <w:szCs w:val="20"/>
              </w:rPr>
              <w:fldChar w:fldCharType="begin"/>
            </w:r>
            <w:r>
              <w:rPr>
                <w:sz w:val="20"/>
                <w:szCs w:val="20"/>
              </w:rPr>
              <w:instrText xml:space="preserve"> </w:instrText>
            </w:r>
            <w:r>
              <w:rPr>
                <w:rFonts w:hint="eastAsia"/>
                <w:sz w:val="20"/>
                <w:szCs w:val="20"/>
              </w:rPr>
              <w:instrText>REF _Ref205924942 \n \h</w:instrText>
            </w:r>
            <w:r>
              <w:rPr>
                <w:sz w:val="20"/>
                <w:szCs w:val="20"/>
              </w:rPr>
              <w:instrText xml:space="preserve"> </w:instrText>
            </w:r>
            <w:r>
              <w:rPr>
                <w:sz w:val="20"/>
                <w:szCs w:val="20"/>
              </w:rPr>
            </w:r>
            <w:r>
              <w:rPr>
                <w:sz w:val="20"/>
                <w:szCs w:val="20"/>
              </w:rPr>
              <w:fldChar w:fldCharType="separate"/>
            </w:r>
            <w:r w:rsidR="00FD4494">
              <w:rPr>
                <w:sz w:val="20"/>
                <w:szCs w:val="20"/>
              </w:rPr>
              <w:t>[12]</w:t>
            </w:r>
            <w:r>
              <w:rPr>
                <w:sz w:val="20"/>
                <w:szCs w:val="20"/>
              </w:rPr>
              <w:fldChar w:fldCharType="end"/>
            </w:r>
          </w:p>
        </w:tc>
      </w:tr>
    </w:tbl>
    <w:p w:rsidR="0048332A" w:rsidRDefault="0048332A">
      <w:pPr>
        <w:spacing w:after="120"/>
        <w:rPr>
          <w:rFonts w:eastAsia="Malgun Gothic"/>
          <w:lang w:eastAsia="ko-KR"/>
        </w:rPr>
      </w:pPr>
    </w:p>
    <w:p w:rsidR="0048332A" w:rsidRDefault="008337A7">
      <w:pPr>
        <w:numPr>
          <w:ilvl w:val="2"/>
          <w:numId w:val="1"/>
        </w:numPr>
        <w:snapToGrid w:val="0"/>
        <w:spacing w:before="240" w:afterLines="50" w:after="120"/>
        <w:ind w:left="0" w:firstLine="0"/>
        <w:jc w:val="both"/>
        <w:outlineLvl w:val="2"/>
        <w:rPr>
          <w:b/>
          <w:sz w:val="24"/>
          <w:szCs w:val="28"/>
        </w:rPr>
      </w:pPr>
      <w:r>
        <w:rPr>
          <w:b/>
          <w:sz w:val="24"/>
          <w:szCs w:val="28"/>
        </w:rPr>
        <w:t>Sensing deployment scenarios</w:t>
      </w:r>
    </w:p>
    <w:p w:rsidR="0048332A" w:rsidRDefault="008337A7">
      <w:pPr>
        <w:snapToGrid w:val="0"/>
        <w:spacing w:beforeLines="50" w:before="120" w:afterLines="50" w:after="120"/>
        <w:jc w:val="both"/>
        <w:rPr>
          <w:szCs w:val="24"/>
        </w:rPr>
      </w:pPr>
      <w:r>
        <w:rPr>
          <w:rFonts w:hint="eastAsia"/>
          <w:sz w:val="20"/>
        </w:rPr>
        <w:lastRenderedPageBreak/>
        <w:t>D</w:t>
      </w:r>
      <w:r>
        <w:rPr>
          <w:sz w:val="20"/>
        </w:rPr>
        <w:t xml:space="preserve">eployment scenarios for sensing are described in this section. The mapping between </w:t>
      </w:r>
      <w:r>
        <w:rPr>
          <w:rFonts w:hint="eastAsia"/>
          <w:sz w:val="20"/>
        </w:rPr>
        <w:t>sensing</w:t>
      </w:r>
      <w:r>
        <w:rPr>
          <w:sz w:val="20"/>
        </w:rPr>
        <w:t xml:space="preserve"> use cases and deployment scenarios are shown in the following table</w:t>
      </w:r>
      <w:r>
        <w:rPr>
          <w:rFonts w:hint="eastAsia"/>
          <w:sz w:val="20"/>
        </w:rPr>
        <w:t xml:space="preserve">. As we can see, most deployment scenarios for sensing and communication can be shared. </w:t>
      </w:r>
    </w:p>
    <w:p w:rsidR="0048332A" w:rsidRDefault="008337A7">
      <w:pPr>
        <w:snapToGrid w:val="0"/>
        <w:spacing w:afterLines="50" w:after="120"/>
        <w:jc w:val="center"/>
      </w:pPr>
      <w:r>
        <w:rPr>
          <w:b/>
          <w:sz w:val="20"/>
          <w:szCs w:val="20"/>
          <w:lang w:eastAsia="en-US"/>
        </w:rPr>
        <w:t>Table 3-2-3</w:t>
      </w:r>
      <w:r>
        <w:t xml:space="preserve"> </w:t>
      </w:r>
      <w:r>
        <w:rPr>
          <w:sz w:val="20"/>
        </w:rPr>
        <w:t>Mapping between sensing use cases and deployment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082"/>
        <w:gridCol w:w="1147"/>
        <w:gridCol w:w="1172"/>
        <w:gridCol w:w="965"/>
        <w:gridCol w:w="952"/>
        <w:gridCol w:w="1094"/>
      </w:tblGrid>
      <w:tr w:rsidR="0048332A">
        <w:trPr>
          <w:trHeight w:val="878"/>
          <w:jc w:val="center"/>
        </w:trPr>
        <w:tc>
          <w:tcPr>
            <w:tcW w:w="1744" w:type="dxa"/>
            <w:tcBorders>
              <w:top w:val="single" w:sz="4" w:space="0" w:color="auto"/>
              <w:left w:val="single" w:sz="4" w:space="0" w:color="auto"/>
              <w:bottom w:val="single" w:sz="4" w:space="0" w:color="auto"/>
              <w:right w:val="single" w:sz="4" w:space="0" w:color="auto"/>
              <w:tl2br w:val="single" w:sz="4" w:space="0" w:color="auto"/>
            </w:tcBorders>
          </w:tcPr>
          <w:p w:rsidR="0048332A" w:rsidRDefault="008337A7">
            <w:pPr>
              <w:snapToGrid w:val="0"/>
              <w:ind w:firstLineChars="350" w:firstLine="700"/>
              <w:rPr>
                <w:sz w:val="20"/>
                <w:szCs w:val="20"/>
              </w:rPr>
            </w:pPr>
            <w:r>
              <w:rPr>
                <w:sz w:val="20"/>
                <w:szCs w:val="20"/>
              </w:rPr>
              <w:t>Use cases</w:t>
            </w:r>
          </w:p>
          <w:p w:rsidR="0048332A" w:rsidRDefault="0048332A">
            <w:pPr>
              <w:snapToGrid w:val="0"/>
              <w:rPr>
                <w:sz w:val="20"/>
                <w:szCs w:val="20"/>
              </w:rPr>
            </w:pPr>
          </w:p>
          <w:p w:rsidR="0048332A" w:rsidRDefault="008337A7">
            <w:pPr>
              <w:snapToGrid w:val="0"/>
              <w:rPr>
                <w:sz w:val="20"/>
                <w:szCs w:val="20"/>
              </w:rPr>
            </w:pPr>
            <w:r>
              <w:rPr>
                <w:rFonts w:hint="eastAsia"/>
                <w:sz w:val="20"/>
                <w:szCs w:val="20"/>
              </w:rPr>
              <w:t>S</w:t>
            </w:r>
            <w:r>
              <w:rPr>
                <w:sz w:val="20"/>
                <w:szCs w:val="20"/>
              </w:rPr>
              <w:t>cenarios</w:t>
            </w:r>
          </w:p>
        </w:tc>
        <w:tc>
          <w:tcPr>
            <w:tcW w:w="1082"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sz w:val="20"/>
                <w:szCs w:val="20"/>
              </w:rPr>
              <w:t>UAV</w:t>
            </w:r>
          </w:p>
        </w:tc>
        <w:tc>
          <w:tcPr>
            <w:tcW w:w="1147"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rFonts w:hint="eastAsia"/>
                <w:sz w:val="20"/>
                <w:szCs w:val="20"/>
              </w:rPr>
              <w:t>H</w:t>
            </w:r>
            <w:r>
              <w:rPr>
                <w:sz w:val="20"/>
                <w:szCs w:val="20"/>
              </w:rPr>
              <w:t>uman</w:t>
            </w:r>
          </w:p>
        </w:tc>
        <w:tc>
          <w:tcPr>
            <w:tcW w:w="1172"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sz w:val="20"/>
                <w:szCs w:val="20"/>
              </w:rPr>
              <w:t>Automotive vehicle</w:t>
            </w:r>
          </w:p>
        </w:tc>
        <w:tc>
          <w:tcPr>
            <w:tcW w:w="965"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sz w:val="20"/>
                <w:szCs w:val="20"/>
              </w:rPr>
              <w:t>AGV</w:t>
            </w:r>
          </w:p>
        </w:tc>
        <w:tc>
          <w:tcPr>
            <w:tcW w:w="952"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sz w:val="20"/>
                <w:szCs w:val="20"/>
              </w:rPr>
              <w:t>Ship</w:t>
            </w:r>
          </w:p>
        </w:tc>
        <w:tc>
          <w:tcPr>
            <w:tcW w:w="1094" w:type="dxa"/>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sz w:val="20"/>
                <w:szCs w:val="20"/>
              </w:rPr>
            </w:pPr>
            <w:r>
              <w:rPr>
                <w:sz w:val="20"/>
                <w:szCs w:val="20"/>
              </w:rPr>
              <w:t xml:space="preserve">Geological disaster </w:t>
            </w:r>
            <w:r>
              <w:rPr>
                <w:rFonts w:hint="eastAsia"/>
                <w:sz w:val="20"/>
                <w:szCs w:val="20"/>
              </w:rPr>
              <w:t>(road)</w:t>
            </w: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r>
              <w:rPr>
                <w:rFonts w:hint="eastAsia"/>
                <w:sz w:val="20"/>
                <w:szCs w:val="20"/>
              </w:rPr>
              <w:t>I</w:t>
            </w:r>
            <w:r>
              <w:rPr>
                <w:sz w:val="20"/>
                <w:szCs w:val="20"/>
              </w:rPr>
              <w:t>ndoor factory</w:t>
            </w:r>
          </w:p>
        </w:tc>
        <w:tc>
          <w:tcPr>
            <w:tcW w:w="108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17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r>
      <w:tr w:rsidR="0048332A">
        <w:trPr>
          <w:trHeight w:val="37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proofErr w:type="spellStart"/>
            <w:r>
              <w:rPr>
                <w:rFonts w:hint="eastAsia"/>
                <w:sz w:val="20"/>
                <w:szCs w:val="20"/>
              </w:rPr>
              <w:t>U</w:t>
            </w:r>
            <w:r>
              <w:rPr>
                <w:sz w:val="20"/>
                <w:szCs w:val="20"/>
              </w:rPr>
              <w:t>Mi</w:t>
            </w:r>
            <w:proofErr w:type="spellEnd"/>
            <w:r>
              <w:rPr>
                <w:sz w:val="20"/>
                <w:szCs w:val="20"/>
              </w:rPr>
              <w:t>/</w:t>
            </w:r>
            <w:proofErr w:type="spellStart"/>
            <w:r>
              <w:rPr>
                <w:sz w:val="20"/>
                <w:szCs w:val="20"/>
              </w:rPr>
              <w:t>UMi</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proofErr w:type="spellStart"/>
            <w:r>
              <w:rPr>
                <w:rFonts w:hint="eastAsia"/>
                <w:sz w:val="20"/>
                <w:szCs w:val="20"/>
              </w:rPr>
              <w:t>U</w:t>
            </w:r>
            <w:r>
              <w:rPr>
                <w:sz w:val="20"/>
                <w:szCs w:val="20"/>
              </w:rPr>
              <w:t>Ma</w:t>
            </w:r>
            <w:proofErr w:type="spellEnd"/>
            <w:r>
              <w:rPr>
                <w:sz w:val="20"/>
                <w:szCs w:val="20"/>
              </w:rPr>
              <w:t>/</w:t>
            </w:r>
            <w:proofErr w:type="spellStart"/>
            <w:r>
              <w:rPr>
                <w:sz w:val="20"/>
                <w:szCs w:val="20"/>
              </w:rPr>
              <w:t>UMa</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17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proofErr w:type="spellStart"/>
            <w:r>
              <w:rPr>
                <w:rFonts w:hint="eastAsia"/>
                <w:sz w:val="20"/>
                <w:szCs w:val="20"/>
              </w:rPr>
              <w:t>R</w:t>
            </w:r>
            <w:r>
              <w:rPr>
                <w:sz w:val="20"/>
                <w:szCs w:val="20"/>
              </w:rPr>
              <w:t>Ma</w:t>
            </w:r>
            <w:proofErr w:type="spellEnd"/>
            <w:r>
              <w:rPr>
                <w:sz w:val="20"/>
                <w:szCs w:val="20"/>
              </w:rPr>
              <w:t>/</w:t>
            </w:r>
            <w:proofErr w:type="spellStart"/>
            <w:r>
              <w:rPr>
                <w:sz w:val="20"/>
                <w:szCs w:val="20"/>
              </w:rPr>
              <w:t>RMa</w:t>
            </w:r>
            <w:proofErr w:type="spellEnd"/>
            <w:r>
              <w:rPr>
                <w:sz w:val="20"/>
                <w:szCs w:val="20"/>
              </w:rPr>
              <w:t>-AV</w:t>
            </w:r>
          </w:p>
        </w:tc>
        <w:tc>
          <w:tcPr>
            <w:tcW w:w="108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147"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r>
              <w:rPr>
                <w:rFonts w:hint="eastAsia"/>
                <w:sz w:val="20"/>
                <w:szCs w:val="20"/>
              </w:rPr>
              <w:t>H</w:t>
            </w:r>
            <w:r>
              <w:rPr>
                <w:sz w:val="20"/>
                <w:szCs w:val="20"/>
              </w:rPr>
              <w:t>ighway</w:t>
            </w:r>
          </w:p>
        </w:tc>
        <w:tc>
          <w:tcPr>
            <w:tcW w:w="108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r>
              <w:rPr>
                <w:rFonts w:hint="eastAsia"/>
                <w:sz w:val="20"/>
                <w:szCs w:val="20"/>
              </w:rPr>
              <w:t>U</w:t>
            </w:r>
            <w:r>
              <w:rPr>
                <w:sz w:val="20"/>
                <w:szCs w:val="20"/>
              </w:rPr>
              <w:t>rban Grid</w:t>
            </w:r>
          </w:p>
        </w:tc>
        <w:tc>
          <w:tcPr>
            <w:tcW w:w="108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094"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r>
      <w:tr w:rsidR="0048332A">
        <w:trPr>
          <w:trHeight w:val="333"/>
          <w:jc w:val="center"/>
        </w:trPr>
        <w:tc>
          <w:tcPr>
            <w:tcW w:w="1744" w:type="dxa"/>
            <w:tcBorders>
              <w:top w:val="single" w:sz="4" w:space="0" w:color="auto"/>
              <w:left w:val="single" w:sz="4" w:space="0" w:color="auto"/>
              <w:bottom w:val="single" w:sz="4" w:space="0" w:color="auto"/>
              <w:right w:val="single" w:sz="4" w:space="0" w:color="auto"/>
            </w:tcBorders>
          </w:tcPr>
          <w:p w:rsidR="0048332A" w:rsidRDefault="008337A7">
            <w:pPr>
              <w:snapToGrid w:val="0"/>
              <w:rPr>
                <w:sz w:val="20"/>
                <w:szCs w:val="20"/>
              </w:rPr>
            </w:pPr>
            <w:r>
              <w:rPr>
                <w:rFonts w:hint="eastAsia"/>
                <w:sz w:val="20"/>
                <w:szCs w:val="20"/>
              </w:rPr>
              <w:t>N</w:t>
            </w:r>
            <w:r>
              <w:rPr>
                <w:sz w:val="20"/>
                <w:szCs w:val="20"/>
              </w:rPr>
              <w:t>earshore waters</w:t>
            </w:r>
          </w:p>
        </w:tc>
        <w:tc>
          <w:tcPr>
            <w:tcW w:w="108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47"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1172"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65"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c>
          <w:tcPr>
            <w:tcW w:w="952" w:type="dxa"/>
            <w:tcBorders>
              <w:top w:val="single" w:sz="4" w:space="0" w:color="auto"/>
              <w:left w:val="single" w:sz="4" w:space="0" w:color="auto"/>
              <w:bottom w:val="single" w:sz="4" w:space="0" w:color="auto"/>
              <w:right w:val="single" w:sz="4" w:space="0" w:color="auto"/>
            </w:tcBorders>
          </w:tcPr>
          <w:p w:rsidR="0048332A" w:rsidRDefault="008337A7">
            <w:pPr>
              <w:snapToGrid w:val="0"/>
              <w:jc w:val="center"/>
              <w:rPr>
                <w:sz w:val="20"/>
                <w:szCs w:val="20"/>
              </w:rPr>
            </w:pPr>
            <w:r>
              <w:rPr>
                <w:rFonts w:ascii="Wingdings" w:hAnsi="Wingdings"/>
                <w:sz w:val="20"/>
                <w:szCs w:val="20"/>
              </w:rPr>
              <w:t></w:t>
            </w:r>
          </w:p>
        </w:tc>
        <w:tc>
          <w:tcPr>
            <w:tcW w:w="1094" w:type="dxa"/>
            <w:tcBorders>
              <w:top w:val="single" w:sz="4" w:space="0" w:color="auto"/>
              <w:left w:val="single" w:sz="4" w:space="0" w:color="auto"/>
              <w:bottom w:val="single" w:sz="4" w:space="0" w:color="auto"/>
              <w:right w:val="single" w:sz="4" w:space="0" w:color="auto"/>
            </w:tcBorders>
          </w:tcPr>
          <w:p w:rsidR="0048332A" w:rsidRDefault="0048332A">
            <w:pPr>
              <w:snapToGrid w:val="0"/>
              <w:jc w:val="center"/>
              <w:rPr>
                <w:sz w:val="20"/>
                <w:szCs w:val="20"/>
              </w:rPr>
            </w:pPr>
          </w:p>
        </w:tc>
      </w:tr>
    </w:tbl>
    <w:p w:rsidR="0048332A" w:rsidRDefault="008337A7">
      <w:pPr>
        <w:snapToGrid w:val="0"/>
        <w:spacing w:beforeLines="50" w:before="120" w:afterLines="50" w:after="120"/>
        <w:jc w:val="both"/>
        <w:rPr>
          <w:sz w:val="20"/>
        </w:rPr>
      </w:pPr>
      <w:r>
        <w:rPr>
          <w:rFonts w:hint="eastAsia"/>
          <w:sz w:val="20"/>
        </w:rPr>
        <w:t>H</w:t>
      </w:r>
      <w:r>
        <w:rPr>
          <w:sz w:val="20"/>
        </w:rPr>
        <w:t xml:space="preserve">igh-level descriptions on deployment scenarios including carrier frequency, aggregated bandwidth, BS/UE antenna elements </w:t>
      </w:r>
      <w:r>
        <w:rPr>
          <w:rFonts w:hint="eastAsia"/>
          <w:sz w:val="20"/>
        </w:rPr>
        <w:t>can be</w:t>
      </w:r>
      <w:r>
        <w:rPr>
          <w:sz w:val="20"/>
        </w:rPr>
        <w:t xml:space="preserve"> updated based on potential new requirement for IMT-2030. In addition, ISAC related descriptions including sensing target characteristics, sensing transmitter and sensing receiver are proposed in the following subsections.</w:t>
      </w:r>
      <w:r>
        <w:rPr>
          <w:rFonts w:hint="eastAsia"/>
          <w:szCs w:val="24"/>
        </w:rPr>
        <w:t xml:space="preserve"> </w:t>
      </w:r>
      <w:r>
        <w:rPr>
          <w:rFonts w:hint="eastAsia"/>
          <w:sz w:val="20"/>
        </w:rPr>
        <w:t>In addition, to achieve good sensing accuracy in terms of angle estimation, 6G should consider large antenna array size, such as 1536 or 2048 antenna elements</w:t>
      </w:r>
      <w:r>
        <w:rPr>
          <w:sz w:val="20"/>
        </w:rPr>
        <w:t xml:space="preserve"> for 7GHz</w:t>
      </w:r>
      <w:r>
        <w:rPr>
          <w:rFonts w:hint="eastAsia"/>
          <w:sz w:val="20"/>
        </w:rPr>
        <w:t>.</w:t>
      </w:r>
    </w:p>
    <w:p w:rsidR="0048332A" w:rsidRDefault="008337A7">
      <w:pPr>
        <w:snapToGrid w:val="0"/>
        <w:spacing w:beforeLines="50" w:before="120" w:afterLines="50" w:after="120"/>
        <w:jc w:val="both"/>
        <w:rPr>
          <w:sz w:val="20"/>
          <w:szCs w:val="24"/>
        </w:rPr>
      </w:pPr>
      <w:r>
        <w:rPr>
          <w:sz w:val="20"/>
          <w:szCs w:val="24"/>
        </w:rPr>
        <w:t>One of the key parameters for sensing evaluation is the sensing mode. Sensing modes can be categorized into: TRP monostatic, TRP-TRP bistatic, TRP-UE bistatic, UE-TRP bistatic, UE monostatic, UE-UE bistatic. If all six sensing modes are simulated for each sensing target in every scenario, the evaluation load will be heavy, which is also inconsistent with real-world sensing deployment. To reduce evaluation complexity, we propose to streamline the number of sensing modes per deployment scenario per sensing target type.</w:t>
      </w:r>
    </w:p>
    <w:p w:rsidR="0048332A" w:rsidRDefault="008337A7">
      <w:pPr>
        <w:snapToGrid w:val="0"/>
        <w:spacing w:beforeLines="50" w:before="120" w:afterLines="50" w:after="120"/>
        <w:jc w:val="both"/>
        <w:rPr>
          <w:bCs/>
          <w:i/>
          <w:sz w:val="20"/>
        </w:rPr>
      </w:pPr>
      <w:r>
        <w:rPr>
          <w:rFonts w:hint="eastAsia"/>
          <w:b/>
          <w:bCs/>
          <w:i/>
          <w:sz w:val="20"/>
          <w:szCs w:val="20"/>
        </w:rPr>
        <w:t xml:space="preserve">Proposal </w:t>
      </w:r>
      <w:r>
        <w:rPr>
          <w:b/>
          <w:bCs/>
          <w:i/>
          <w:sz w:val="20"/>
          <w:szCs w:val="20"/>
        </w:rPr>
        <w:t>3-2-2</w:t>
      </w:r>
      <w:r>
        <w:rPr>
          <w:rFonts w:hint="eastAsia"/>
          <w:b/>
          <w:bCs/>
          <w:i/>
          <w:sz w:val="20"/>
          <w:szCs w:val="20"/>
        </w:rPr>
        <w:t>:</w:t>
      </w:r>
      <w:r>
        <w:rPr>
          <w:rFonts w:hint="eastAsia"/>
          <w:b/>
          <w:bCs/>
          <w:i/>
        </w:rPr>
        <w:t xml:space="preserve"> </w:t>
      </w:r>
      <w:r>
        <w:rPr>
          <w:rFonts w:hint="eastAsia"/>
          <w:bCs/>
          <w:i/>
          <w:sz w:val="20"/>
        </w:rPr>
        <w:t xml:space="preserve">For ISAC, support deployment scenarios including Indoor factory, </w:t>
      </w:r>
      <w:r>
        <w:rPr>
          <w:bCs/>
          <w:i/>
          <w:sz w:val="20"/>
        </w:rPr>
        <w:t>Dense urban, Urban macro, Rural, Highway, Urban grid and Nearshore waters, in accordance with the assumptions in Table 3-2-4, Table-3-2-5, Table 3-2-6 and Table 3-2-7.</w:t>
      </w:r>
    </w:p>
    <w:p w:rsidR="0048332A" w:rsidRDefault="008337A7">
      <w:pPr>
        <w:pStyle w:val="Heading4"/>
        <w:tabs>
          <w:tab w:val="left" w:pos="720"/>
        </w:tabs>
        <w:snapToGrid w:val="0"/>
        <w:spacing w:beforeLines="50" w:before="120" w:afterLines="50" w:after="120"/>
        <w:jc w:val="both"/>
        <w:rPr>
          <w:b/>
        </w:rPr>
      </w:pPr>
      <w:r>
        <w:rPr>
          <w:b/>
          <w:sz w:val="22"/>
        </w:rPr>
        <w:t>3.2.2.1 Indoor Factory</w:t>
      </w:r>
    </w:p>
    <w:p w:rsidR="0048332A" w:rsidRDefault="008337A7">
      <w:pPr>
        <w:snapToGrid w:val="0"/>
        <w:spacing w:beforeLines="50" w:before="120" w:afterLines="50" w:after="120"/>
        <w:jc w:val="both"/>
        <w:rPr>
          <w:sz w:val="20"/>
        </w:rPr>
      </w:pPr>
      <w:r>
        <w:rPr>
          <w:sz w:val="20"/>
        </w:rPr>
        <w:t>The indoor factory deployment scenario can refer to TR 38.901 and TR 38.857. In indoor factory scenarios, the sensing targets are humans (children or adults) or automated guided vehicles (AGVs) inside a factory. Monostatic or bistatic sensing can be performed using TRPs and/or UEs selected from the corresponding communication scenario.</w:t>
      </w:r>
    </w:p>
    <w:p w:rsidR="0048332A" w:rsidRDefault="008337A7">
      <w:pPr>
        <w:snapToGrid w:val="0"/>
        <w:spacing w:beforeLines="50" w:before="120" w:after="120"/>
        <w:rPr>
          <w:sz w:val="20"/>
        </w:rPr>
      </w:pPr>
      <w:r>
        <w:rPr>
          <w:sz w:val="20"/>
        </w:rPr>
        <w:t>ISAC related descriptions including sensing target characteristics, sensing transmitter and sensing receiver are proposed in Table 3-2-4.</w:t>
      </w:r>
    </w:p>
    <w:p w:rsidR="0048332A" w:rsidRDefault="008337A7">
      <w:pPr>
        <w:pStyle w:val="TH"/>
        <w:snapToGrid w:val="0"/>
        <w:spacing w:after="0"/>
        <w:rPr>
          <w:rFonts w:ascii="Times New Roman" w:eastAsia="t" w:hAnsi="Times New Roman"/>
          <w:b w:val="0"/>
          <w:bCs/>
        </w:rPr>
      </w:pPr>
      <w:r>
        <w:rPr>
          <w:rFonts w:ascii="Times New Roman" w:hAnsi="Times New Roman"/>
        </w:rPr>
        <w:t xml:space="preserve">Table 3-2-4 </w:t>
      </w:r>
      <w:r>
        <w:rPr>
          <w:rFonts w:ascii="Times New Roman" w:hAnsi="Times New Roman"/>
          <w:b w:val="0"/>
          <w:bCs/>
        </w:rPr>
        <w:t>Attributes for indoor factory</w:t>
      </w:r>
    </w:p>
    <w:tbl>
      <w:tblPr>
        <w:tblpPr w:leftFromText="180" w:rightFromText="180" w:vertAnchor="text" w:tblpX="135"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461"/>
        <w:gridCol w:w="6025"/>
      </w:tblGrid>
      <w:tr w:rsidR="0048332A">
        <w:tc>
          <w:tcPr>
            <w:tcW w:w="1864" w:type="dxa"/>
            <w:tcBorders>
              <w:top w:val="single" w:sz="4" w:space="0" w:color="auto"/>
              <w:left w:val="single" w:sz="4" w:space="0" w:color="auto"/>
              <w:bottom w:val="single" w:sz="4" w:space="0" w:color="auto"/>
              <w:right w:val="single" w:sz="4" w:space="0" w:color="auto"/>
            </w:tcBorders>
          </w:tcPr>
          <w:p w:rsidR="0048332A" w:rsidRDefault="008337A7">
            <w:pPr>
              <w:pStyle w:val="TAH"/>
              <w:snapToGrid w:val="0"/>
              <w:rPr>
                <w:rFonts w:ascii="Times New Roman" w:hAnsi="Times New Roman"/>
                <w:b w:val="0"/>
                <w:bCs/>
                <w:sz w:val="20"/>
                <w:szCs w:val="22"/>
              </w:rPr>
            </w:pPr>
            <w:r>
              <w:rPr>
                <w:rFonts w:ascii="Times New Roman" w:hAnsi="Times New Roman"/>
                <w:b w:val="0"/>
                <w:bCs/>
                <w:sz w:val="20"/>
                <w:szCs w:val="22"/>
              </w:rPr>
              <w:t>Attributes</w:t>
            </w:r>
          </w:p>
        </w:tc>
        <w:tc>
          <w:tcPr>
            <w:tcW w:w="7486" w:type="dxa"/>
            <w:gridSpan w:val="2"/>
            <w:tcBorders>
              <w:top w:val="single" w:sz="4" w:space="0" w:color="auto"/>
              <w:left w:val="nil"/>
              <w:bottom w:val="single" w:sz="4" w:space="0" w:color="auto"/>
              <w:right w:val="single" w:sz="4" w:space="0" w:color="auto"/>
            </w:tcBorders>
          </w:tcPr>
          <w:p w:rsidR="0048332A" w:rsidRDefault="008337A7">
            <w:pPr>
              <w:pStyle w:val="TAH"/>
              <w:snapToGrid w:val="0"/>
              <w:rPr>
                <w:rFonts w:ascii="Times New Roman" w:hAnsi="Times New Roman"/>
                <w:b w:val="0"/>
                <w:bCs/>
                <w:sz w:val="20"/>
                <w:szCs w:val="22"/>
              </w:rPr>
            </w:pPr>
            <w:r>
              <w:rPr>
                <w:rFonts w:ascii="Times New Roman" w:hAnsi="Times New Roman"/>
                <w:b w:val="0"/>
                <w:bCs/>
                <w:sz w:val="20"/>
                <w:szCs w:val="22"/>
              </w:rPr>
              <w:t>Values or assumptions</w:t>
            </w:r>
          </w:p>
        </w:tc>
      </w:tr>
      <w:tr w:rsidR="0048332A">
        <w:tc>
          <w:tcPr>
            <w:tcW w:w="186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rPr>
            </w:pPr>
            <w:r>
              <w:rPr>
                <w:rFonts w:ascii="Times New Roman" w:hAnsi="Times New Roman"/>
                <w:bCs/>
                <w:sz w:val="20"/>
                <w:szCs w:val="22"/>
              </w:rPr>
              <w:t>Carrier Frequency</w:t>
            </w:r>
          </w:p>
        </w:tc>
        <w:tc>
          <w:tcPr>
            <w:tcW w:w="7486"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rPr>
            </w:pPr>
            <w:r>
              <w:rPr>
                <w:rFonts w:ascii="Times New Roman" w:hAnsi="Times New Roman"/>
                <w:bCs/>
                <w:sz w:val="20"/>
                <w:szCs w:val="22"/>
              </w:rPr>
              <w:t>4 GHz, 7 GHz, 30 GHz</w:t>
            </w:r>
          </w:p>
        </w:tc>
      </w:tr>
      <w:tr w:rsidR="0048332A">
        <w:tc>
          <w:tcPr>
            <w:tcW w:w="186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szCs w:val="22"/>
              </w:rPr>
            </w:pPr>
            <w:r>
              <w:rPr>
                <w:rFonts w:ascii="Times New Roman" w:hAnsi="Times New Roman"/>
                <w:bCs/>
                <w:sz w:val="20"/>
                <w:szCs w:val="22"/>
              </w:rPr>
              <w:t>Layout</w:t>
            </w:r>
          </w:p>
        </w:tc>
        <w:tc>
          <w:tcPr>
            <w:tcW w:w="7486"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rPr>
            </w:pPr>
            <w:r>
              <w:rPr>
                <w:rFonts w:ascii="Times New Roman" w:hAnsi="Times New Roman"/>
                <w:bCs/>
                <w:sz w:val="20"/>
                <w:szCs w:val="22"/>
              </w:rPr>
              <w:t>Single layer</w:t>
            </w:r>
            <w:r>
              <w:rPr>
                <w:rFonts w:ascii="Times New Roman" w:hAnsi="Times New Roman"/>
                <w:bCs/>
                <w:sz w:val="20"/>
                <w:szCs w:val="22"/>
                <w:lang w:val="en-US" w:eastAsia="zh-CN"/>
              </w:rPr>
              <w:t>:</w:t>
            </w:r>
            <w:r>
              <w:rPr>
                <w:rFonts w:ascii="Times New Roman" w:hAnsi="Times New Roman"/>
                <w:bCs/>
                <w:sz w:val="20"/>
                <w:szCs w:val="22"/>
              </w:rPr>
              <w:t xml:space="preserve"> Indoor floor</w:t>
            </w:r>
          </w:p>
          <w:p w:rsidR="0048332A" w:rsidRDefault="008337A7">
            <w:pPr>
              <w:pStyle w:val="TAL"/>
              <w:snapToGrid w:val="0"/>
              <w:rPr>
                <w:rFonts w:ascii="Times New Roman" w:hAnsi="Times New Roman"/>
                <w:bCs/>
                <w:sz w:val="20"/>
                <w:szCs w:val="22"/>
              </w:rPr>
            </w:pPr>
            <w:r>
              <w:rPr>
                <w:rFonts w:ascii="Times New Roman" w:hAnsi="Times New Roman"/>
                <w:bCs/>
                <w:sz w:val="20"/>
                <w:szCs w:val="22"/>
              </w:rPr>
              <w:t>ISD = 50m</w:t>
            </w:r>
            <w:r>
              <w:rPr>
                <w:rFonts w:ascii="Times New Roman" w:hAnsi="Times New Roman" w:hint="eastAsia"/>
                <w:bCs/>
                <w:sz w:val="20"/>
                <w:szCs w:val="22"/>
                <w:lang w:eastAsia="zh-CN"/>
              </w:rPr>
              <w:t xml:space="preserve"> </w:t>
            </w:r>
            <w:r>
              <w:rPr>
                <w:rFonts w:ascii="Times New Roman" w:hAnsi="Times New Roman"/>
                <w:bCs/>
                <w:sz w:val="20"/>
                <w:szCs w:val="22"/>
              </w:rPr>
              <w:t>(Equivalent to 18TRxPs per 300m x 150m)</w:t>
            </w:r>
          </w:p>
          <w:p w:rsidR="0048332A" w:rsidRDefault="008337A7">
            <w:pPr>
              <w:pStyle w:val="TAL"/>
              <w:snapToGrid w:val="0"/>
              <w:rPr>
                <w:rFonts w:ascii="Times New Roman" w:hAnsi="Times New Roman"/>
                <w:bCs/>
                <w:sz w:val="20"/>
                <w:szCs w:val="22"/>
              </w:rPr>
            </w:pPr>
            <w:r>
              <w:rPr>
                <w:noProof/>
                <w:lang w:val="en-US" w:eastAsia="zh-CN"/>
              </w:rPr>
              <w:lastRenderedPageBreak/>
              <w:drawing>
                <wp:inline distT="0" distB="0" distL="0" distR="0">
                  <wp:extent cx="2985770" cy="1627505"/>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23" cstate="print">
                            <a:extLst>
                              <a:ext uri="{28A0092B-C50C-407E-A947-70E740481C1C}">
                                <a14:useLocalDpi xmlns:a14="http://schemas.microsoft.com/office/drawing/2010/main" val="0"/>
                              </a:ext>
                            </a:extLst>
                          </a:blip>
                          <a:srcRect r="8147" b="5746"/>
                          <a:stretch>
                            <a:fillRect/>
                          </a:stretch>
                        </pic:blipFill>
                        <pic:spPr>
                          <a:xfrm>
                            <a:off x="0" y="0"/>
                            <a:ext cx="2986336" cy="1627949"/>
                          </a:xfrm>
                          <a:prstGeom prst="rect">
                            <a:avLst/>
                          </a:prstGeom>
                          <a:ln>
                            <a:noFill/>
                          </a:ln>
                        </pic:spPr>
                      </pic:pic>
                    </a:graphicData>
                  </a:graphic>
                </wp:inline>
              </w:drawing>
            </w:r>
          </w:p>
        </w:tc>
      </w:tr>
      <w:tr w:rsidR="0048332A">
        <w:tc>
          <w:tcPr>
            <w:tcW w:w="186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rPr>
            </w:pPr>
            <w:r>
              <w:rPr>
                <w:rFonts w:ascii="Times New Roman" w:hAnsi="Times New Roman"/>
                <w:bCs/>
                <w:sz w:val="20"/>
                <w:szCs w:val="22"/>
              </w:rPr>
              <w:lastRenderedPageBreak/>
              <w:t>Sensing transmitters and sensing receivers</w:t>
            </w:r>
          </w:p>
        </w:tc>
        <w:tc>
          <w:tcPr>
            <w:tcW w:w="7486"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Theme="minorEastAsia" w:hAnsi="Times New Roman"/>
                <w:bCs/>
                <w:sz w:val="20"/>
                <w:szCs w:val="22"/>
              </w:rPr>
            </w:pPr>
            <w:r>
              <w:rPr>
                <w:rFonts w:ascii="Times New Roman" w:eastAsiaTheme="minorEastAsia" w:hAnsi="Times New Roman"/>
                <w:bCs/>
                <w:sz w:val="20"/>
                <w:szCs w:val="22"/>
              </w:rPr>
              <w:t>Sensing mode:</w:t>
            </w:r>
            <w:r>
              <w:t xml:space="preserve"> </w:t>
            </w:r>
            <w:r>
              <w:rPr>
                <w:rFonts w:ascii="Times New Roman" w:eastAsiaTheme="minorEastAsia" w:hAnsi="Times New Roman"/>
                <w:bCs/>
                <w:sz w:val="20"/>
                <w:szCs w:val="22"/>
              </w:rPr>
              <w:t>TRP monostatic, TRP-UE bistatic,</w:t>
            </w:r>
            <w:r>
              <w:t xml:space="preserve"> </w:t>
            </w:r>
            <w:r>
              <w:rPr>
                <w:rFonts w:ascii="Times New Roman" w:eastAsiaTheme="minorEastAsia" w:hAnsi="Times New Roman"/>
                <w:bCs/>
                <w:sz w:val="20"/>
                <w:szCs w:val="22"/>
              </w:rPr>
              <w:t>UE-TRP bistatic, UE-UE bistatic</w:t>
            </w:r>
          </w:p>
          <w:p w:rsidR="0048332A" w:rsidRDefault="008337A7">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Rx/Tx location are selected among the TRPs and UEs location in the corresponding communication scenario</w:t>
            </w:r>
          </w:p>
        </w:tc>
      </w:tr>
      <w:tr w:rsidR="0048332A">
        <w:tc>
          <w:tcPr>
            <w:tcW w:w="1864" w:type="dxa"/>
            <w:vMerge w:val="restart"/>
            <w:tcBorders>
              <w:top w:val="nil"/>
              <w:left w:val="single" w:sz="4" w:space="0" w:color="auto"/>
              <w:bottom w:val="single" w:sz="4" w:space="0" w:color="auto"/>
              <w:right w:val="single" w:sz="4" w:space="0" w:color="auto"/>
            </w:tcBorders>
            <w:shd w:val="clear" w:color="auto" w:fill="FFFFFF"/>
            <w:vAlign w:val="center"/>
          </w:tcPr>
          <w:p w:rsidR="0048332A" w:rsidRDefault="008337A7">
            <w:pPr>
              <w:pStyle w:val="TAL"/>
              <w:snapToGrid w:val="0"/>
              <w:rPr>
                <w:rFonts w:ascii="Times New Roman" w:hAnsi="Times New Roman"/>
                <w:bCs/>
                <w:sz w:val="20"/>
                <w:szCs w:val="22"/>
              </w:rPr>
            </w:pPr>
            <w:r>
              <w:rPr>
                <w:rFonts w:ascii="Times New Roman" w:hAnsi="Times New Roman"/>
                <w:bCs/>
                <w:sz w:val="20"/>
                <w:szCs w:val="22"/>
              </w:rPr>
              <w:t>Sensing targets</w:t>
            </w:r>
          </w:p>
        </w:tc>
        <w:tc>
          <w:tcPr>
            <w:tcW w:w="1461"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jc w:val="both"/>
              <w:rPr>
                <w:rFonts w:ascii="Times New Roman" w:eastAsia="宋体" w:hAnsi="Times New Roman"/>
                <w:bCs/>
                <w:sz w:val="20"/>
                <w:szCs w:val="22"/>
              </w:rPr>
            </w:pPr>
            <w:r>
              <w:rPr>
                <w:rFonts w:ascii="Times New Roman" w:eastAsia="宋体" w:hAnsi="Times New Roman"/>
                <w:bCs/>
                <w:sz w:val="20"/>
                <w:szCs w:val="22"/>
              </w:rPr>
              <w:t>Outdoor/indoor</w:t>
            </w:r>
          </w:p>
        </w:tc>
        <w:tc>
          <w:tcPr>
            <w:tcW w:w="602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Indoor</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jc w:val="both"/>
              <w:rPr>
                <w:rFonts w:ascii="Times New Roman" w:eastAsia="宋体" w:hAnsi="Times New Roman"/>
                <w:bCs/>
                <w:sz w:val="20"/>
                <w:szCs w:val="22"/>
              </w:rPr>
            </w:pPr>
            <w:r>
              <w:rPr>
                <w:rFonts w:ascii="Times New Roman" w:eastAsia="宋体" w:hAnsi="Times New Roman"/>
                <w:bCs/>
                <w:sz w:val="20"/>
                <w:szCs w:val="22"/>
              </w:rPr>
              <w:t>Mobility</w:t>
            </w:r>
          </w:p>
        </w:tc>
        <w:tc>
          <w:tcPr>
            <w:tcW w:w="602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 xml:space="preserve">For human </w:t>
            </w:r>
            <w:proofErr w:type="gramStart"/>
            <w:r>
              <w:rPr>
                <w:rFonts w:ascii="Times New Roman" w:hAnsi="Times New Roman"/>
                <w:bCs/>
                <w:sz w:val="20"/>
                <w:szCs w:val="22"/>
              </w:rPr>
              <w:t>as</w:t>
            </w:r>
            <w:proofErr w:type="gramEnd"/>
            <w:r>
              <w:rPr>
                <w:rFonts w:ascii="Times New Roman" w:hAnsi="Times New Roman"/>
                <w:bCs/>
                <w:sz w:val="20"/>
                <w:szCs w:val="22"/>
              </w:rPr>
              <w:t xml:space="preserve"> sensing target: Uniform distribution between 0km/h and 3km/h</w:t>
            </w:r>
          </w:p>
          <w:p w:rsidR="0048332A" w:rsidRDefault="008337A7">
            <w:pPr>
              <w:pStyle w:val="TAN"/>
              <w:snapToGrid w:val="0"/>
              <w:spacing w:before="0" w:beforeAutospacing="0"/>
              <w:ind w:left="0" w:firstLine="0"/>
              <w:rPr>
                <w:rFonts w:ascii="Times New Roman" w:hAnsi="Times New Roman"/>
                <w:bCs/>
                <w:sz w:val="20"/>
                <w:szCs w:val="22"/>
              </w:rPr>
            </w:pPr>
            <w:r>
              <w:rPr>
                <w:rFonts w:ascii="Times New Roman" w:eastAsia="宋体" w:hAnsi="Times New Roman"/>
                <w:bCs/>
                <w:sz w:val="20"/>
                <w:szCs w:val="22"/>
              </w:rPr>
              <w:t xml:space="preserve">For AGV as sensing target: </w:t>
            </w:r>
            <w:r>
              <w:rPr>
                <w:rFonts w:ascii="Times New Roman" w:hAnsi="Times New Roman"/>
                <w:bCs/>
                <w:sz w:val="20"/>
                <w:szCs w:val="22"/>
              </w:rPr>
              <w:t>Uniform distribution between 0km/h and 30km/h</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Distribution</w:t>
            </w:r>
          </w:p>
        </w:tc>
        <w:tc>
          <w:tcPr>
            <w:tcW w:w="602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2"/>
              </w:rPr>
            </w:pPr>
            <w:r>
              <w:rPr>
                <w:rFonts w:ascii="Times New Roman" w:hAnsi="Times New Roman"/>
                <w:bCs/>
                <w:sz w:val="20"/>
                <w:szCs w:val="22"/>
              </w:rPr>
              <w:t>Uniformly distributed over the horizontal area of the convex hull of the TRP deployment</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Orientation</w:t>
            </w:r>
          </w:p>
        </w:tc>
        <w:tc>
          <w:tcPr>
            <w:tcW w:w="602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2"/>
              </w:rPr>
            </w:pPr>
            <w:r>
              <w:rPr>
                <w:rFonts w:ascii="Times New Roman" w:hAnsi="Times New Roman"/>
                <w:bCs/>
                <w:sz w:val="20"/>
                <w:szCs w:val="22"/>
              </w:rPr>
              <w:t>Random over the horizontal area</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bCs/>
                <w:sz w:val="20"/>
              </w:rPr>
            </w:pPr>
          </w:p>
        </w:tc>
        <w:tc>
          <w:tcPr>
            <w:tcW w:w="1461"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2"/>
              </w:rPr>
            </w:pPr>
            <w:r>
              <w:rPr>
                <w:rFonts w:ascii="Times New Roman" w:eastAsia="宋体" w:hAnsi="Times New Roman"/>
                <w:bCs/>
                <w:sz w:val="20"/>
                <w:szCs w:val="22"/>
              </w:rPr>
              <w:t>Physical characteristics</w:t>
            </w:r>
          </w:p>
        </w:tc>
        <w:tc>
          <w:tcPr>
            <w:tcW w:w="602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2"/>
              </w:rPr>
            </w:pPr>
            <w:r>
              <w:rPr>
                <w:rFonts w:ascii="Times New Roman" w:hAnsi="Times New Roman"/>
                <w:bCs/>
                <w:sz w:val="20"/>
                <w:szCs w:val="22"/>
              </w:rPr>
              <w:t>Size (Length x Width x Height):</w:t>
            </w:r>
          </w:p>
          <w:p w:rsidR="0048332A" w:rsidRDefault="008337A7">
            <w:pPr>
              <w:pStyle w:val="TAN"/>
              <w:snapToGrid w:val="0"/>
              <w:spacing w:before="0" w:beforeAutospacing="0"/>
              <w:rPr>
                <w:rFonts w:ascii="Times New Roman" w:hAnsi="Times New Roman"/>
                <w:bCs/>
                <w:sz w:val="20"/>
                <w:szCs w:val="22"/>
              </w:rPr>
            </w:pPr>
            <w:r>
              <w:rPr>
                <w:rFonts w:ascii="Times New Roman" w:hAnsi="Times New Roman"/>
                <w:bCs/>
                <w:sz w:val="20"/>
                <w:szCs w:val="22"/>
              </w:rPr>
              <w:t>- Child: 0.2m x 0.3m x 1m</w:t>
            </w:r>
          </w:p>
          <w:p w:rsidR="0048332A" w:rsidRDefault="008337A7">
            <w:pPr>
              <w:pStyle w:val="TAN"/>
              <w:snapToGrid w:val="0"/>
              <w:spacing w:before="0" w:beforeAutospacing="0"/>
              <w:rPr>
                <w:rFonts w:ascii="Times New Roman" w:hAnsi="Times New Roman"/>
                <w:bCs/>
                <w:sz w:val="20"/>
                <w:szCs w:val="22"/>
              </w:rPr>
            </w:pPr>
            <w:r>
              <w:rPr>
                <w:rFonts w:ascii="Times New Roman" w:hAnsi="Times New Roman"/>
                <w:bCs/>
                <w:sz w:val="20"/>
                <w:szCs w:val="22"/>
              </w:rPr>
              <w:t>- Adult Pedestrian: 0.5m x 0.5m x 1.75m</w:t>
            </w:r>
          </w:p>
          <w:p w:rsidR="0048332A" w:rsidRDefault="008337A7">
            <w:pPr>
              <w:pStyle w:val="TAN"/>
              <w:snapToGrid w:val="0"/>
              <w:spacing w:before="0" w:beforeAutospacing="0"/>
              <w:rPr>
                <w:rFonts w:ascii="Times New Roman" w:eastAsia="宋体" w:hAnsi="Times New Roman"/>
                <w:bCs/>
                <w:sz w:val="20"/>
                <w:szCs w:val="22"/>
              </w:rPr>
            </w:pPr>
            <w:r>
              <w:rPr>
                <w:rFonts w:ascii="Times New Roman" w:eastAsia="宋体" w:hAnsi="Times New Roman"/>
                <w:bCs/>
                <w:sz w:val="20"/>
                <w:szCs w:val="22"/>
              </w:rPr>
              <w:t>- AGV: 1.5 m x 3.0m x 1.5 m</w:t>
            </w:r>
          </w:p>
        </w:tc>
      </w:tr>
      <w:tr w:rsidR="0048332A">
        <w:tc>
          <w:tcPr>
            <w:tcW w:w="0" w:type="auto"/>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bCs/>
                <w:sz w:val="20"/>
              </w:rPr>
            </w:pPr>
            <w:r>
              <w:rPr>
                <w:rFonts w:hint="eastAsia"/>
                <w:bCs/>
                <w:sz w:val="20"/>
              </w:rPr>
              <w:t>E</w:t>
            </w:r>
            <w:r>
              <w:rPr>
                <w:bCs/>
                <w:sz w:val="20"/>
              </w:rPr>
              <w:t>valuation metrics</w:t>
            </w:r>
          </w:p>
        </w:tc>
        <w:tc>
          <w:tcPr>
            <w:tcW w:w="7486"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ind w:left="0" w:firstLine="0"/>
              <w:rPr>
                <w:rFonts w:ascii="Times New Roman" w:hAnsi="Times New Roman"/>
                <w:bCs/>
                <w:sz w:val="20"/>
                <w:szCs w:val="22"/>
              </w:rPr>
            </w:pPr>
            <w:r>
              <w:rPr>
                <w:rFonts w:ascii="Times New Roman" w:hAnsi="Times New Roman"/>
                <w:bCs/>
                <w:sz w:val="20"/>
                <w:szCs w:val="22"/>
              </w:rPr>
              <w:t>Horizontal/vertical localization accuracy</w:t>
            </w:r>
            <w:r>
              <w:rPr>
                <w:rFonts w:ascii="Times New Roman" w:eastAsiaTheme="minorEastAsia" w:hAnsi="Times New Roman" w:hint="eastAsia"/>
                <w:bCs/>
                <w:sz w:val="20"/>
                <w:szCs w:val="22"/>
              </w:rPr>
              <w:t>,</w:t>
            </w:r>
            <w:r>
              <w:rPr>
                <w:rFonts w:ascii="Times New Roman" w:eastAsiaTheme="minorEastAsia" w:hAnsi="Times New Roman"/>
                <w:bCs/>
                <w:sz w:val="20"/>
                <w:szCs w:val="22"/>
              </w:rPr>
              <w:t xml:space="preserve"> </w:t>
            </w:r>
            <w:r>
              <w:rPr>
                <w:rFonts w:ascii="Times New Roman" w:hAnsi="Times New Roman"/>
                <w:bCs/>
                <w:sz w:val="20"/>
                <w:szCs w:val="22"/>
              </w:rPr>
              <w:t>velocity accuracy, missing detection probability, false alarm probability</w:t>
            </w:r>
          </w:p>
        </w:tc>
      </w:tr>
    </w:tbl>
    <w:p w:rsidR="0048332A" w:rsidRDefault="0048332A">
      <w:pPr>
        <w:spacing w:after="120"/>
        <w:rPr>
          <w:rFonts w:eastAsia="Malgun Gothic"/>
          <w:lang w:eastAsia="ko-KR"/>
        </w:rPr>
      </w:pPr>
    </w:p>
    <w:p w:rsidR="0048332A" w:rsidRDefault="008337A7">
      <w:pPr>
        <w:pStyle w:val="Heading4"/>
        <w:tabs>
          <w:tab w:val="left" w:pos="720"/>
        </w:tabs>
        <w:snapToGrid w:val="0"/>
        <w:spacing w:before="240" w:afterLines="50" w:after="120"/>
        <w:jc w:val="both"/>
        <w:rPr>
          <w:b/>
          <w:sz w:val="22"/>
        </w:rPr>
      </w:pPr>
      <w:r>
        <w:rPr>
          <w:rFonts w:hint="eastAsia"/>
          <w:b/>
          <w:sz w:val="22"/>
        </w:rPr>
        <w:t>3.</w:t>
      </w:r>
      <w:r>
        <w:rPr>
          <w:b/>
          <w:sz w:val="22"/>
        </w:rPr>
        <w:t>2</w:t>
      </w:r>
      <w:r>
        <w:rPr>
          <w:rFonts w:hint="eastAsia"/>
          <w:b/>
          <w:sz w:val="22"/>
        </w:rPr>
        <w:t>.</w:t>
      </w:r>
      <w:r>
        <w:rPr>
          <w:b/>
          <w:sz w:val="22"/>
        </w:rPr>
        <w:t>2</w:t>
      </w:r>
      <w:r>
        <w:rPr>
          <w:rFonts w:hint="eastAsia"/>
          <w:b/>
          <w:sz w:val="22"/>
        </w:rPr>
        <w:t>.</w:t>
      </w:r>
      <w:r>
        <w:rPr>
          <w:b/>
          <w:sz w:val="22"/>
        </w:rPr>
        <w:t>2</w:t>
      </w:r>
      <w:r>
        <w:rPr>
          <w:rFonts w:hint="eastAsia"/>
          <w:b/>
          <w:sz w:val="22"/>
        </w:rPr>
        <w:t xml:space="preserve"> </w:t>
      </w:r>
      <w:r>
        <w:rPr>
          <w:b/>
          <w:sz w:val="22"/>
        </w:rPr>
        <w:t>Dense Urban, Urban Macro and Rural</w:t>
      </w:r>
    </w:p>
    <w:p w:rsidR="0048332A" w:rsidRDefault="008337A7">
      <w:pPr>
        <w:snapToGrid w:val="0"/>
        <w:spacing w:beforeLines="50" w:before="120" w:after="120"/>
        <w:rPr>
          <w:sz w:val="20"/>
        </w:rPr>
      </w:pPr>
      <w:r>
        <w:rPr>
          <w:sz w:val="20"/>
        </w:rPr>
        <w:t>In Dense Urban, Urban Macro and Rural scenarios, the sensing targets are humans (children or adults) or UAVs in urban or rural scenarios. Monostatic or bistatic sensing can be performed using TRPs and/or UEs selected from the corresponding communication scenario.</w:t>
      </w:r>
    </w:p>
    <w:p w:rsidR="0048332A" w:rsidRDefault="008337A7">
      <w:pPr>
        <w:snapToGrid w:val="0"/>
        <w:spacing w:beforeLines="50" w:before="120" w:after="120"/>
        <w:rPr>
          <w:sz w:val="20"/>
        </w:rPr>
      </w:pPr>
      <w:r>
        <w:rPr>
          <w:sz w:val="20"/>
        </w:rPr>
        <w:t>ISAC related descriptions including sensing target characteristics, sensing transmitter and sensing receiver are proposed in Table 3-2-5.</w:t>
      </w:r>
    </w:p>
    <w:p w:rsidR="0048332A" w:rsidRDefault="008337A7">
      <w:pPr>
        <w:pStyle w:val="TH"/>
        <w:snapToGrid w:val="0"/>
        <w:rPr>
          <w:rFonts w:ascii="Times New Roman" w:hAnsi="Times New Roman"/>
          <w:b w:val="0"/>
          <w:bCs/>
        </w:rPr>
      </w:pPr>
      <w:r>
        <w:rPr>
          <w:rFonts w:ascii="Times New Roman" w:hAnsi="Times New Roman"/>
          <w:bCs/>
        </w:rPr>
        <w:t>Table 3-2-5</w:t>
      </w:r>
      <w:r>
        <w:rPr>
          <w:rFonts w:ascii="Times New Roman" w:hAnsi="Times New Roman"/>
          <w:b w:val="0"/>
          <w:bCs/>
        </w:rPr>
        <w:t xml:space="preserve"> Attributes for dense urban, urban macro and rural</w:t>
      </w:r>
    </w:p>
    <w:tbl>
      <w:tblPr>
        <w:tblpPr w:leftFromText="180" w:rightFromText="180" w:vertAnchor="text" w:tblpX="135"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553"/>
        <w:gridCol w:w="5734"/>
      </w:tblGrid>
      <w:tr w:rsidR="0048332A">
        <w:trPr>
          <w:trHeight w:val="177"/>
        </w:trPr>
        <w:tc>
          <w:tcPr>
            <w:tcW w:w="1928" w:type="dxa"/>
            <w:tcBorders>
              <w:top w:val="single" w:sz="4" w:space="0" w:color="auto"/>
              <w:left w:val="single" w:sz="4" w:space="0" w:color="auto"/>
              <w:bottom w:val="single" w:sz="4" w:space="0" w:color="auto"/>
              <w:right w:val="single" w:sz="4" w:space="0" w:color="auto"/>
            </w:tcBorders>
          </w:tcPr>
          <w:p w:rsidR="0048332A" w:rsidRDefault="008337A7">
            <w:pPr>
              <w:pStyle w:val="TAH"/>
              <w:snapToGrid w:val="0"/>
              <w:rPr>
                <w:rFonts w:ascii="Times New Roman" w:hAnsi="Times New Roman"/>
                <w:b w:val="0"/>
                <w:bCs/>
                <w:sz w:val="20"/>
              </w:rPr>
            </w:pPr>
            <w:r>
              <w:rPr>
                <w:rFonts w:ascii="Times New Roman" w:hAnsi="Times New Roman"/>
                <w:b w:val="0"/>
                <w:bCs/>
                <w:sz w:val="20"/>
              </w:rPr>
              <w:t>Attributes</w:t>
            </w:r>
          </w:p>
        </w:tc>
        <w:tc>
          <w:tcPr>
            <w:tcW w:w="7287" w:type="dxa"/>
            <w:gridSpan w:val="2"/>
            <w:tcBorders>
              <w:top w:val="single" w:sz="4" w:space="0" w:color="auto"/>
              <w:left w:val="single" w:sz="4" w:space="0" w:color="auto"/>
              <w:bottom w:val="single" w:sz="4" w:space="0" w:color="auto"/>
              <w:right w:val="single" w:sz="4" w:space="0" w:color="auto"/>
            </w:tcBorders>
          </w:tcPr>
          <w:p w:rsidR="0048332A" w:rsidRDefault="008337A7">
            <w:pPr>
              <w:pStyle w:val="TAH"/>
              <w:snapToGrid w:val="0"/>
              <w:rPr>
                <w:rFonts w:ascii="Times New Roman" w:hAnsi="Times New Roman"/>
                <w:b w:val="0"/>
                <w:bCs/>
                <w:sz w:val="20"/>
              </w:rPr>
            </w:pPr>
            <w:r>
              <w:rPr>
                <w:rFonts w:ascii="Times New Roman" w:hAnsi="Times New Roman"/>
                <w:b w:val="0"/>
                <w:bCs/>
                <w:sz w:val="20"/>
              </w:rPr>
              <w:t>Values or assumptions</w:t>
            </w:r>
          </w:p>
        </w:tc>
      </w:tr>
      <w:tr w:rsidR="0048332A">
        <w:tc>
          <w:tcPr>
            <w:tcW w:w="192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Carrier Frequency</w:t>
            </w:r>
          </w:p>
        </w:tc>
        <w:tc>
          <w:tcPr>
            <w:tcW w:w="7287" w:type="dxa"/>
            <w:gridSpan w:val="2"/>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Dense Urban, Urban Macro: 4GHz, 7GHz, 30GHz</w:t>
            </w:r>
          </w:p>
          <w:p w:rsidR="0048332A" w:rsidRDefault="008337A7">
            <w:pPr>
              <w:pStyle w:val="TAL"/>
              <w:snapToGrid w:val="0"/>
              <w:rPr>
                <w:rFonts w:ascii="Times New Roman" w:hAnsi="Times New Roman"/>
                <w:bCs/>
                <w:sz w:val="20"/>
              </w:rPr>
            </w:pPr>
            <w:r>
              <w:rPr>
                <w:rFonts w:ascii="Times New Roman" w:hAnsi="Times New Roman"/>
                <w:bCs/>
                <w:sz w:val="20"/>
              </w:rPr>
              <w:t>Rural: 700MHz, 4GHz, 7GHz</w:t>
            </w:r>
          </w:p>
        </w:tc>
      </w:tr>
      <w:tr w:rsidR="0048332A">
        <w:tc>
          <w:tcPr>
            <w:tcW w:w="192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Layout</w:t>
            </w:r>
          </w:p>
        </w:tc>
        <w:tc>
          <w:tcPr>
            <w:tcW w:w="7287" w:type="dxa"/>
            <w:gridSpan w:val="2"/>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Single layer: Hex. Grid</w:t>
            </w:r>
          </w:p>
          <w:p w:rsidR="0048332A" w:rsidRDefault="008337A7">
            <w:pPr>
              <w:pStyle w:val="TAL"/>
              <w:snapToGrid w:val="0"/>
              <w:rPr>
                <w:rFonts w:ascii="Times New Roman" w:hAnsi="Times New Roman"/>
                <w:bCs/>
                <w:sz w:val="20"/>
              </w:rPr>
            </w:pPr>
            <w:r>
              <w:rPr>
                <w:rFonts w:ascii="Times New Roman" w:hAnsi="Times New Roman"/>
                <w:bCs/>
                <w:sz w:val="20"/>
              </w:rPr>
              <w:t>Dense Urban: ISD = 200m</w:t>
            </w:r>
          </w:p>
          <w:p w:rsidR="0048332A" w:rsidRDefault="008337A7">
            <w:pPr>
              <w:pStyle w:val="TAL"/>
              <w:snapToGrid w:val="0"/>
              <w:rPr>
                <w:rFonts w:ascii="Times New Roman" w:hAnsi="Times New Roman"/>
                <w:bCs/>
                <w:sz w:val="20"/>
              </w:rPr>
            </w:pPr>
            <w:r>
              <w:rPr>
                <w:rFonts w:ascii="Times New Roman" w:hAnsi="Times New Roman" w:hint="eastAsia"/>
                <w:bCs/>
                <w:sz w:val="20"/>
                <w:lang w:eastAsia="zh-CN"/>
              </w:rPr>
              <w:t>U</w:t>
            </w:r>
            <w:r>
              <w:rPr>
                <w:rFonts w:ascii="Times New Roman" w:hAnsi="Times New Roman"/>
                <w:bCs/>
                <w:sz w:val="20"/>
                <w:lang w:eastAsia="zh-CN"/>
              </w:rPr>
              <w:t xml:space="preserve">rban Macro: </w:t>
            </w:r>
            <w:r>
              <w:rPr>
                <w:rFonts w:ascii="Times New Roman" w:hAnsi="Times New Roman"/>
                <w:bCs/>
                <w:sz w:val="20"/>
              </w:rPr>
              <w:t xml:space="preserve"> ISD = 500m</w:t>
            </w:r>
          </w:p>
          <w:p w:rsidR="0048332A" w:rsidRDefault="008337A7">
            <w:pPr>
              <w:pStyle w:val="TAL"/>
              <w:snapToGrid w:val="0"/>
              <w:rPr>
                <w:rFonts w:ascii="Times New Roman" w:hAnsi="Times New Roman"/>
                <w:bCs/>
                <w:sz w:val="20"/>
                <w:lang w:eastAsia="zh-CN"/>
              </w:rPr>
            </w:pPr>
            <w:r>
              <w:rPr>
                <w:rFonts w:ascii="Times New Roman" w:hAnsi="Times New Roman" w:hint="eastAsia"/>
                <w:bCs/>
                <w:sz w:val="20"/>
                <w:lang w:eastAsia="zh-CN"/>
              </w:rPr>
              <w:t>R</w:t>
            </w:r>
            <w:r>
              <w:rPr>
                <w:rFonts w:ascii="Times New Roman" w:hAnsi="Times New Roman"/>
                <w:bCs/>
                <w:sz w:val="20"/>
                <w:lang w:eastAsia="zh-CN"/>
              </w:rPr>
              <w:t xml:space="preserve">ural: </w:t>
            </w:r>
            <w:r>
              <w:rPr>
                <w:rFonts w:ascii="Times New Roman" w:hAnsi="Times New Roman"/>
                <w:bCs/>
                <w:sz w:val="20"/>
              </w:rPr>
              <w:t>ISD = 1732m</w:t>
            </w:r>
          </w:p>
        </w:tc>
      </w:tr>
      <w:tr w:rsidR="0048332A">
        <w:tc>
          <w:tcPr>
            <w:tcW w:w="192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szCs w:val="22"/>
              </w:rPr>
              <w:t>Sensing transmitters and sensing receivers</w:t>
            </w:r>
          </w:p>
        </w:tc>
        <w:tc>
          <w:tcPr>
            <w:tcW w:w="7287" w:type="dxa"/>
            <w:gridSpan w:val="2"/>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lang w:eastAsia="zh-CN"/>
              </w:rPr>
            </w:pPr>
            <w:r>
              <w:rPr>
                <w:rFonts w:ascii="Times New Roman" w:hAnsi="Times New Roman"/>
                <w:bCs/>
                <w:sz w:val="20"/>
                <w:szCs w:val="22"/>
                <w:lang w:eastAsia="zh-CN"/>
              </w:rPr>
              <w:t xml:space="preserve">Sensing mode: </w:t>
            </w:r>
          </w:p>
          <w:p w:rsidR="0048332A" w:rsidRDefault="008337A7">
            <w:pPr>
              <w:pStyle w:val="TAL"/>
              <w:numPr>
                <w:ilvl w:val="0"/>
                <w:numId w:val="17"/>
              </w:numPr>
              <w:snapToGrid w:val="0"/>
              <w:rPr>
                <w:rFonts w:ascii="Times New Roman" w:hAnsi="Times New Roman"/>
                <w:bCs/>
                <w:sz w:val="20"/>
                <w:szCs w:val="22"/>
                <w:lang w:eastAsia="zh-CN"/>
              </w:rPr>
            </w:pPr>
            <w:r>
              <w:rPr>
                <w:rFonts w:ascii="Times New Roman" w:hAnsi="Times New Roman"/>
                <w:bCs/>
                <w:sz w:val="20"/>
                <w:szCs w:val="22"/>
                <w:lang w:eastAsia="zh-CN"/>
              </w:rPr>
              <w:t xml:space="preserve">For UAV as sensing target: </w:t>
            </w:r>
            <w:r>
              <w:t xml:space="preserve"> </w:t>
            </w:r>
            <w:r>
              <w:rPr>
                <w:rFonts w:ascii="Times New Roman" w:hAnsi="Times New Roman"/>
                <w:bCs/>
                <w:sz w:val="20"/>
                <w:szCs w:val="22"/>
                <w:lang w:eastAsia="zh-CN"/>
              </w:rPr>
              <w:t>TRP monostatic, TRP-TRP bistatic</w:t>
            </w:r>
          </w:p>
          <w:p w:rsidR="0048332A" w:rsidRDefault="008337A7">
            <w:pPr>
              <w:pStyle w:val="TAL"/>
              <w:numPr>
                <w:ilvl w:val="0"/>
                <w:numId w:val="17"/>
              </w:numPr>
              <w:snapToGrid w:val="0"/>
              <w:rPr>
                <w:rFonts w:ascii="Times New Roman" w:hAnsi="Times New Roman"/>
                <w:bCs/>
                <w:sz w:val="20"/>
                <w:szCs w:val="22"/>
                <w:lang w:eastAsia="zh-CN"/>
              </w:rPr>
            </w:pPr>
            <w:r>
              <w:rPr>
                <w:rFonts w:ascii="Times New Roman" w:hAnsi="Times New Roman"/>
                <w:bCs/>
                <w:sz w:val="20"/>
                <w:szCs w:val="22"/>
                <w:lang w:eastAsia="zh-CN"/>
              </w:rPr>
              <w:t xml:space="preserve">For human as sensing target: </w:t>
            </w:r>
            <w:r>
              <w:t xml:space="preserve"> </w:t>
            </w:r>
            <w:r>
              <w:rPr>
                <w:rFonts w:ascii="Times New Roman" w:hAnsi="Times New Roman"/>
                <w:bCs/>
                <w:sz w:val="20"/>
                <w:szCs w:val="22"/>
                <w:lang w:eastAsia="zh-CN"/>
              </w:rPr>
              <w:t>TRP monostatic, TRP-UE bistatic</w:t>
            </w:r>
          </w:p>
          <w:p w:rsidR="0048332A" w:rsidRDefault="008337A7">
            <w:pPr>
              <w:pStyle w:val="TAL"/>
              <w:snapToGrid w:val="0"/>
              <w:rPr>
                <w:rFonts w:ascii="Times New Roman" w:hAnsi="Times New Roman"/>
                <w:bCs/>
                <w:sz w:val="20"/>
              </w:rPr>
            </w:pPr>
            <w:r>
              <w:rPr>
                <w:rFonts w:ascii="Times New Roman" w:hAnsi="Times New Roman"/>
                <w:bCs/>
                <w:sz w:val="20"/>
                <w:szCs w:val="22"/>
              </w:rPr>
              <w:t>Rx/Tx location are selected among the TRPs and UEs location in the corresponding communication scenario</w:t>
            </w:r>
          </w:p>
        </w:tc>
      </w:tr>
      <w:tr w:rsidR="0048332A">
        <w:tc>
          <w:tcPr>
            <w:tcW w:w="1928" w:type="dxa"/>
            <w:vMerge w:val="restart"/>
            <w:tcBorders>
              <w:top w:val="nil"/>
              <w:left w:val="single" w:sz="4" w:space="0" w:color="auto"/>
              <w:bottom w:val="single" w:sz="4" w:space="0" w:color="auto"/>
              <w:right w:val="single" w:sz="4" w:space="0" w:color="auto"/>
            </w:tcBorders>
            <w:shd w:val="clear" w:color="auto" w:fill="FFFFFF"/>
            <w:vAlign w:val="center"/>
          </w:tcPr>
          <w:p w:rsidR="0048332A" w:rsidRDefault="008337A7">
            <w:pPr>
              <w:pStyle w:val="TAL"/>
              <w:snapToGrid w:val="0"/>
              <w:rPr>
                <w:rFonts w:ascii="Times New Roman" w:eastAsia="t" w:hAnsi="Times New Roman"/>
                <w:bCs/>
                <w:sz w:val="20"/>
              </w:rPr>
            </w:pPr>
            <w:r>
              <w:rPr>
                <w:rFonts w:ascii="Times New Roman" w:hAnsi="Times New Roman"/>
                <w:bCs/>
                <w:sz w:val="20"/>
              </w:rPr>
              <w:t>Sensing targets</w:t>
            </w:r>
          </w:p>
        </w:tc>
        <w:tc>
          <w:tcPr>
            <w:tcW w:w="1553"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0"/>
              </w:rPr>
            </w:pPr>
            <w:r>
              <w:rPr>
                <w:rFonts w:ascii="Times New Roman" w:eastAsia="宋体" w:hAnsi="Times New Roman"/>
                <w:bCs/>
                <w:sz w:val="20"/>
                <w:szCs w:val="20"/>
              </w:rPr>
              <w:t>Outdoor/indoor</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0"/>
              </w:rPr>
            </w:pPr>
            <w:r>
              <w:rPr>
                <w:rFonts w:ascii="Times New Roman" w:eastAsia="宋体" w:hAnsi="Times New Roman"/>
                <w:bCs/>
                <w:sz w:val="20"/>
                <w:szCs w:val="20"/>
              </w:rPr>
              <w:t>Outdoor</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Mobility</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Theme="minorEastAsia" w:hAnsi="Times New Roman"/>
                <w:bCs/>
                <w:sz w:val="20"/>
                <w:szCs w:val="20"/>
              </w:rPr>
            </w:pPr>
            <w:r>
              <w:rPr>
                <w:rFonts w:ascii="Times New Roman" w:hAnsi="Times New Roman"/>
                <w:bCs/>
                <w:sz w:val="20"/>
                <w:szCs w:val="20"/>
              </w:rPr>
              <w:t xml:space="preserve">For human </w:t>
            </w:r>
            <w:proofErr w:type="gramStart"/>
            <w:r>
              <w:rPr>
                <w:rFonts w:ascii="Times New Roman" w:hAnsi="Times New Roman"/>
                <w:bCs/>
                <w:sz w:val="20"/>
                <w:szCs w:val="20"/>
              </w:rPr>
              <w:t>as</w:t>
            </w:r>
            <w:proofErr w:type="gramEnd"/>
            <w:r>
              <w:rPr>
                <w:rFonts w:ascii="Times New Roman" w:hAnsi="Times New Roman"/>
                <w:bCs/>
                <w:sz w:val="20"/>
                <w:szCs w:val="20"/>
              </w:rPr>
              <w:t xml:space="preserve"> sensing target: Uniform distribution between 0km/h and 3km/h</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lastRenderedPageBreak/>
              <w:t xml:space="preserve">For UAV as sensing target: </w:t>
            </w:r>
            <w:r>
              <w:rPr>
                <w:rFonts w:ascii="Times New Roman" w:hAnsi="Times New Roman"/>
                <w:bCs/>
                <w:sz w:val="20"/>
                <w:szCs w:val="20"/>
              </w:rPr>
              <w:t>Uniform distribution between 0km/h and 180km/h</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Distribution</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10"/>
              <w:rPr>
                <w:rFonts w:hint="eastAsia"/>
              </w:rPr>
            </w:pPr>
            <w:r>
              <w:rPr>
                <w:rFonts w:ascii="Times New Roman" w:hAnsi="Times New Roman"/>
                <w:bCs/>
                <w:sz w:val="20"/>
                <w:szCs w:val="20"/>
              </w:rPr>
              <w:t>Horizontal</w:t>
            </w:r>
            <w:r>
              <w:rPr>
                <w:bCs/>
                <w:sz w:val="20"/>
              </w:rPr>
              <w:t xml:space="preserve"> </w:t>
            </w:r>
            <w:r>
              <w:rPr>
                <w:rFonts w:ascii="Times New Roman" w:hAnsi="Times New Roman" w:cs="Times New Roman"/>
                <w:bCs/>
                <w:sz w:val="20"/>
                <w:szCs w:val="20"/>
              </w:rPr>
              <w:t>for human and UAV</w:t>
            </w:r>
            <w:r>
              <w:rPr>
                <w:rFonts w:ascii="Times New Roman" w:hAnsi="Times New Roman"/>
                <w:bCs/>
                <w:sz w:val="20"/>
                <w:szCs w:val="20"/>
              </w:rPr>
              <w:t>: Uniformly distributed with a sensing area (e.g., center cell)</w:t>
            </w:r>
          </w:p>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Vertical for UAV: </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Option A: Uniform between 1.5m and 300m.</w:t>
            </w:r>
          </w:p>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Option B: Fixed height value chosen from {25, 50, 100, 200, 300} m</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Orientation</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Random in the horizontal domain</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553"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 xml:space="preserve">Physical </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characteristics</w:t>
            </w:r>
          </w:p>
        </w:tc>
        <w:tc>
          <w:tcPr>
            <w:tcW w:w="5734"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Child: 0.2m x 0.3m x 1m</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Adult Pedestrian: 0.5m x 0.5m x 1.75m</w:t>
            </w:r>
          </w:p>
          <w:p w:rsidR="0048332A" w:rsidRDefault="0048332A">
            <w:pPr>
              <w:pStyle w:val="TAN"/>
              <w:snapToGrid w:val="0"/>
              <w:spacing w:before="0" w:beforeAutospacing="0"/>
              <w:ind w:left="0" w:firstLine="0"/>
              <w:rPr>
                <w:rFonts w:ascii="Times New Roman" w:eastAsiaTheme="minorEastAsia" w:hAnsi="Times New Roman"/>
                <w:bCs/>
                <w:sz w:val="20"/>
                <w:szCs w:val="20"/>
              </w:rPr>
            </w:pP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 UAV 1: 1.6m x 1.5m x 0.7m</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 UAV 2: 0.3m x 0.4m x 0.2m</w:t>
            </w:r>
          </w:p>
        </w:tc>
      </w:tr>
      <w:tr w:rsidR="0048332A">
        <w:tc>
          <w:tcPr>
            <w:tcW w:w="0" w:type="auto"/>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rFonts w:eastAsia="t"/>
                <w:bCs/>
                <w:sz w:val="20"/>
                <w:szCs w:val="20"/>
              </w:rPr>
            </w:pPr>
            <w:r>
              <w:rPr>
                <w:rFonts w:hint="eastAsia"/>
                <w:bCs/>
                <w:sz w:val="20"/>
              </w:rPr>
              <w:t>E</w:t>
            </w:r>
            <w:r>
              <w:rPr>
                <w:bCs/>
                <w:sz w:val="20"/>
              </w:rPr>
              <w:t>valuation metrics</w:t>
            </w:r>
          </w:p>
        </w:tc>
        <w:tc>
          <w:tcPr>
            <w:tcW w:w="7287" w:type="dxa"/>
            <w:gridSpan w:val="2"/>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2"/>
              </w:rPr>
              <w:t>Horizontal/vertical localization accuracy</w:t>
            </w:r>
            <w:r>
              <w:rPr>
                <w:rFonts w:ascii="Times New Roman" w:eastAsiaTheme="minorEastAsia" w:hAnsi="Times New Roman" w:hint="eastAsia"/>
                <w:bCs/>
                <w:sz w:val="20"/>
                <w:szCs w:val="22"/>
              </w:rPr>
              <w:t>,</w:t>
            </w:r>
            <w:r>
              <w:rPr>
                <w:rFonts w:ascii="Times New Roman" w:eastAsiaTheme="minorEastAsia" w:hAnsi="Times New Roman"/>
                <w:bCs/>
                <w:sz w:val="20"/>
                <w:szCs w:val="22"/>
              </w:rPr>
              <w:t xml:space="preserve"> </w:t>
            </w:r>
            <w:r>
              <w:rPr>
                <w:rFonts w:ascii="Times New Roman" w:hAnsi="Times New Roman"/>
                <w:bCs/>
                <w:sz w:val="20"/>
                <w:szCs w:val="22"/>
              </w:rPr>
              <w:t>velocity accuracy, missing detection probability, false alarm probability</w:t>
            </w:r>
          </w:p>
        </w:tc>
      </w:tr>
    </w:tbl>
    <w:p w:rsidR="0048332A" w:rsidRDefault="0048332A">
      <w:pPr>
        <w:spacing w:after="120"/>
        <w:rPr>
          <w:rFonts w:eastAsia="Malgun Gothic"/>
          <w:lang w:eastAsia="ko-KR"/>
        </w:rPr>
      </w:pPr>
    </w:p>
    <w:p w:rsidR="0048332A" w:rsidRDefault="008337A7">
      <w:pPr>
        <w:pStyle w:val="Heading4"/>
        <w:tabs>
          <w:tab w:val="left" w:pos="720"/>
        </w:tabs>
        <w:snapToGrid w:val="0"/>
        <w:spacing w:before="240" w:afterLines="50" w:after="120"/>
        <w:jc w:val="both"/>
        <w:rPr>
          <w:b/>
          <w:sz w:val="22"/>
        </w:rPr>
      </w:pPr>
      <w:r>
        <w:rPr>
          <w:rFonts w:hint="eastAsia"/>
          <w:b/>
          <w:sz w:val="22"/>
        </w:rPr>
        <w:t>3.</w:t>
      </w:r>
      <w:r>
        <w:rPr>
          <w:b/>
          <w:sz w:val="22"/>
        </w:rPr>
        <w:t>2</w:t>
      </w:r>
      <w:r>
        <w:rPr>
          <w:rFonts w:hint="eastAsia"/>
          <w:b/>
          <w:sz w:val="22"/>
        </w:rPr>
        <w:t>.</w:t>
      </w:r>
      <w:r>
        <w:rPr>
          <w:b/>
          <w:sz w:val="22"/>
        </w:rPr>
        <w:t>2</w:t>
      </w:r>
      <w:r>
        <w:rPr>
          <w:rFonts w:hint="eastAsia"/>
          <w:b/>
          <w:sz w:val="22"/>
        </w:rPr>
        <w:t>.</w:t>
      </w:r>
      <w:r>
        <w:rPr>
          <w:b/>
          <w:sz w:val="22"/>
        </w:rPr>
        <w:t>3</w:t>
      </w:r>
      <w:r>
        <w:rPr>
          <w:rFonts w:hint="eastAsia"/>
          <w:b/>
          <w:sz w:val="22"/>
        </w:rPr>
        <w:t xml:space="preserve"> </w:t>
      </w:r>
      <w:r>
        <w:rPr>
          <w:b/>
          <w:sz w:val="22"/>
        </w:rPr>
        <w:t>Highway and urban grid</w:t>
      </w:r>
    </w:p>
    <w:p w:rsidR="0048332A" w:rsidRDefault="008337A7">
      <w:pPr>
        <w:snapToGrid w:val="0"/>
        <w:spacing w:beforeLines="50" w:before="120" w:after="120"/>
        <w:rPr>
          <w:sz w:val="20"/>
        </w:rPr>
      </w:pPr>
      <w:r>
        <w:rPr>
          <w:sz w:val="20"/>
        </w:rPr>
        <w:t>In highway and urban grid scenarios, the sensing targets are passenger vehicles or trucks and buses traveling on roads and streets in urban and rural areas, or the sensing targets can be road(s) which may suffer from infrastructure collapse. Monostatic or bistatic sensing can be performed using TRPs and/or UEs selected from the corresponding communication scenario.</w:t>
      </w:r>
    </w:p>
    <w:p w:rsidR="0048332A" w:rsidRDefault="008337A7">
      <w:pPr>
        <w:snapToGrid w:val="0"/>
        <w:spacing w:beforeLines="50" w:before="120" w:after="120"/>
        <w:rPr>
          <w:sz w:val="20"/>
        </w:rPr>
      </w:pPr>
      <w:r>
        <w:rPr>
          <w:sz w:val="20"/>
        </w:rPr>
        <w:t>ISAC related descriptions including sensing target characteristics, sensing transmitter and sensing receiver are proposed in Table 3-2-6.</w:t>
      </w:r>
    </w:p>
    <w:p w:rsidR="0048332A" w:rsidRDefault="008337A7">
      <w:pPr>
        <w:pStyle w:val="TH"/>
        <w:snapToGrid w:val="0"/>
        <w:rPr>
          <w:rFonts w:ascii="Times New Roman" w:hAnsi="Times New Roman"/>
          <w:b w:val="0"/>
          <w:bCs/>
        </w:rPr>
      </w:pPr>
      <w:r>
        <w:rPr>
          <w:rFonts w:ascii="Times New Roman" w:hAnsi="Times New Roman"/>
          <w:bCs/>
        </w:rPr>
        <w:t>Table 3-2-6</w:t>
      </w:r>
      <w:r>
        <w:rPr>
          <w:rFonts w:ascii="Times New Roman" w:hAnsi="Times New Roman"/>
          <w:b w:val="0"/>
          <w:bCs/>
        </w:rPr>
        <w:t xml:space="preserve"> Attributes of Highway</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1789"/>
        <w:gridCol w:w="5803"/>
      </w:tblGrid>
      <w:tr w:rsidR="0048332A">
        <w:tc>
          <w:tcPr>
            <w:tcW w:w="1758" w:type="dxa"/>
            <w:tcBorders>
              <w:top w:val="single" w:sz="4" w:space="0" w:color="auto"/>
              <w:left w:val="single" w:sz="4" w:space="0" w:color="auto"/>
              <w:bottom w:val="single" w:sz="4" w:space="0" w:color="auto"/>
              <w:right w:val="single" w:sz="4" w:space="0" w:color="auto"/>
            </w:tcBorders>
          </w:tcPr>
          <w:p w:rsidR="0048332A" w:rsidRDefault="008337A7">
            <w:pPr>
              <w:snapToGrid w:val="0"/>
              <w:ind w:leftChars="-210" w:left="-462" w:firstLineChars="210" w:firstLine="420"/>
              <w:jc w:val="center"/>
              <w:rPr>
                <w:rFonts w:eastAsia="Arial Unicode MS"/>
                <w:bCs/>
                <w:sz w:val="20"/>
                <w:szCs w:val="20"/>
              </w:rPr>
            </w:pPr>
            <w:r>
              <w:rPr>
                <w:rFonts w:eastAsia="Arial Unicode MS"/>
                <w:bCs/>
                <w:sz w:val="20"/>
                <w:szCs w:val="20"/>
              </w:rPr>
              <w:t>Attributes</w:t>
            </w:r>
          </w:p>
        </w:tc>
        <w:tc>
          <w:tcPr>
            <w:tcW w:w="7592" w:type="dxa"/>
            <w:gridSpan w:val="2"/>
            <w:tcBorders>
              <w:top w:val="single" w:sz="4" w:space="0" w:color="auto"/>
              <w:left w:val="nil"/>
              <w:bottom w:val="single" w:sz="4" w:space="0" w:color="auto"/>
              <w:right w:val="single" w:sz="4" w:space="0" w:color="auto"/>
            </w:tcBorders>
          </w:tcPr>
          <w:p w:rsidR="0048332A" w:rsidRDefault="008337A7">
            <w:pPr>
              <w:snapToGrid w:val="0"/>
              <w:jc w:val="center"/>
              <w:rPr>
                <w:rFonts w:eastAsia="Arial Unicode MS"/>
                <w:bCs/>
                <w:sz w:val="20"/>
                <w:szCs w:val="20"/>
              </w:rPr>
            </w:pPr>
            <w:r>
              <w:rPr>
                <w:rFonts w:eastAsia="Arial Unicode MS"/>
                <w:bCs/>
                <w:sz w:val="20"/>
                <w:szCs w:val="20"/>
              </w:rPr>
              <w:t>Values or assumptions</w:t>
            </w:r>
          </w:p>
        </w:tc>
      </w:tr>
      <w:tr w:rsidR="0048332A">
        <w:tc>
          <w:tcPr>
            <w:tcW w:w="175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 xml:space="preserve">Carrier Frequency </w:t>
            </w:r>
          </w:p>
        </w:tc>
        <w:tc>
          <w:tcPr>
            <w:tcW w:w="759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7 GHz</w:t>
            </w:r>
          </w:p>
        </w:tc>
      </w:tr>
      <w:tr w:rsidR="0048332A">
        <w:tc>
          <w:tcPr>
            <w:tcW w:w="175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Layout</w:t>
            </w:r>
          </w:p>
        </w:tc>
        <w:tc>
          <w:tcPr>
            <w:tcW w:w="759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Highway:</w:t>
            </w:r>
          </w:p>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1732m, 500m (Optional) </w:t>
            </w:r>
          </w:p>
          <w:p w:rsidR="0048332A" w:rsidRDefault="008337A7">
            <w:pPr>
              <w:pStyle w:val="TAL"/>
              <w:snapToGrid w:val="0"/>
              <w:rPr>
                <w:rFonts w:ascii="Times New Roman" w:eastAsia="Arial Unicode MS" w:hAnsi="Times New Roman"/>
                <w:bCs/>
                <w:sz w:val="20"/>
                <w:lang w:eastAsia="zh-CN"/>
              </w:rPr>
            </w:pPr>
            <w:r>
              <w:rPr>
                <w:rFonts w:ascii="Times New Roman" w:eastAsia="Arial Unicode MS" w:hAnsi="Times New Roman" w:hint="eastAsia"/>
                <w:bCs/>
                <w:sz w:val="20"/>
                <w:lang w:eastAsia="zh-CN"/>
              </w:rPr>
              <w:t>U</w:t>
            </w:r>
            <w:r>
              <w:rPr>
                <w:rFonts w:ascii="Times New Roman" w:eastAsia="Arial Unicode MS" w:hAnsi="Times New Roman"/>
                <w:bCs/>
                <w:sz w:val="20"/>
                <w:lang w:eastAsia="zh-CN"/>
              </w:rPr>
              <w:t>rban Grid:</w:t>
            </w:r>
          </w:p>
          <w:p w:rsidR="0048332A" w:rsidRDefault="008337A7">
            <w:pPr>
              <w:pStyle w:val="10"/>
              <w:rPr>
                <w:rFonts w:hint="eastAsia"/>
              </w:rPr>
            </w:pPr>
            <w:r>
              <w:rPr>
                <w:rFonts w:ascii="Times New Roman" w:hAnsi="Times New Roman" w:cs="Times New Roman"/>
                <w:bCs/>
                <w:sz w:val="20"/>
                <w:szCs w:val="20"/>
              </w:rPr>
              <w:t xml:space="preserve">Macro cell: ISD = </w:t>
            </w:r>
            <w:r>
              <w:rPr>
                <w:rFonts w:ascii="Times New Roman" w:eastAsia="Malgun Gothic" w:hAnsi="Times New Roman" w:cs="Times New Roman"/>
                <w:bCs/>
                <w:sz w:val="20"/>
                <w:szCs w:val="20"/>
              </w:rPr>
              <w:t xml:space="preserve">500m </w:t>
            </w:r>
          </w:p>
        </w:tc>
      </w:tr>
      <w:tr w:rsidR="0048332A">
        <w:tc>
          <w:tcPr>
            <w:tcW w:w="1758"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szCs w:val="22"/>
              </w:rPr>
              <w:t>Sensing transmitters and sensing receivers</w:t>
            </w:r>
          </w:p>
        </w:tc>
        <w:tc>
          <w:tcPr>
            <w:tcW w:w="759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szCs w:val="22"/>
                <w:lang w:eastAsia="zh-CN"/>
              </w:rPr>
            </w:pPr>
            <w:r>
              <w:rPr>
                <w:rFonts w:ascii="Times New Roman" w:hAnsi="Times New Roman" w:hint="eastAsia"/>
                <w:bCs/>
                <w:sz w:val="20"/>
                <w:szCs w:val="22"/>
                <w:lang w:eastAsia="zh-CN"/>
              </w:rPr>
              <w:t>S</w:t>
            </w:r>
            <w:r>
              <w:rPr>
                <w:rFonts w:ascii="Times New Roman" w:hAnsi="Times New Roman"/>
                <w:bCs/>
                <w:sz w:val="20"/>
                <w:szCs w:val="22"/>
                <w:lang w:eastAsia="zh-CN"/>
              </w:rPr>
              <w:t>ensing mode: TRP monostatic, TRP-UE bistatic, UE-TRP bistatic, UE monostatic</w:t>
            </w:r>
          </w:p>
          <w:p w:rsidR="0048332A" w:rsidRDefault="008337A7">
            <w:pPr>
              <w:pStyle w:val="TAL"/>
              <w:snapToGrid w:val="0"/>
              <w:rPr>
                <w:rFonts w:ascii="Times New Roman" w:eastAsia="Arial Unicode MS" w:hAnsi="Times New Roman"/>
                <w:bCs/>
                <w:sz w:val="20"/>
              </w:rPr>
            </w:pPr>
            <w:r>
              <w:rPr>
                <w:rFonts w:ascii="Times New Roman" w:hAnsi="Times New Roman"/>
                <w:bCs/>
                <w:sz w:val="20"/>
                <w:szCs w:val="22"/>
              </w:rPr>
              <w:t>Rx/Tx location are selected among the TRPs and UEs location in the corresponding communication scenario</w:t>
            </w:r>
          </w:p>
        </w:tc>
      </w:tr>
      <w:tr w:rsidR="0048332A">
        <w:tc>
          <w:tcPr>
            <w:tcW w:w="1758" w:type="dxa"/>
            <w:vMerge w:val="restart"/>
            <w:tcBorders>
              <w:top w:val="nil"/>
              <w:left w:val="single" w:sz="4" w:space="0" w:color="auto"/>
              <w:bottom w:val="single" w:sz="4" w:space="0" w:color="auto"/>
              <w:right w:val="single" w:sz="4" w:space="0" w:color="auto"/>
            </w:tcBorders>
            <w:shd w:val="clear" w:color="auto" w:fill="FFFFFF"/>
            <w:vAlign w:val="center"/>
          </w:tcPr>
          <w:p w:rsidR="0048332A" w:rsidRDefault="008337A7">
            <w:pPr>
              <w:pStyle w:val="TAL"/>
              <w:snapToGrid w:val="0"/>
              <w:rPr>
                <w:rFonts w:ascii="Times New Roman" w:eastAsia="t" w:hAnsi="Times New Roman"/>
                <w:bCs/>
                <w:sz w:val="20"/>
              </w:rPr>
            </w:pPr>
            <w:r>
              <w:rPr>
                <w:rFonts w:ascii="Times New Roman" w:hAnsi="Times New Roman"/>
                <w:bCs/>
                <w:sz w:val="20"/>
              </w:rPr>
              <w:t>Sensing targets</w:t>
            </w:r>
          </w:p>
        </w:tc>
        <w:tc>
          <w:tcPr>
            <w:tcW w:w="1789"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hAnsi="Times New Roman"/>
                <w:bCs/>
                <w:sz w:val="20"/>
              </w:rPr>
              <w:t>Outdoor/indoor</w:t>
            </w:r>
          </w:p>
        </w:tc>
        <w:tc>
          <w:tcPr>
            <w:tcW w:w="5803"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hAnsi="Times New Roman"/>
                <w:bCs/>
                <w:sz w:val="20"/>
              </w:rPr>
              <w:t>Outdoor</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Mobility</w:t>
            </w:r>
          </w:p>
        </w:tc>
        <w:tc>
          <w:tcPr>
            <w:tcW w:w="5803"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 in highway:</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Option A: Vehicle speed is 140 km/h in all the lanes as baseline and 70 km/h in all the lanes optionally.</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 xml:space="preserve">Option B: </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Speed in Lane 1: 80km/h</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 xml:space="preserve">Speed in Lane 2: 100km/h </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 xml:space="preserve">Speed in Lane 3: 140km/h </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 xml:space="preserve">Speed in Lane 4: 40km/h </w:t>
            </w:r>
          </w:p>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 xml:space="preserve">Speed in Lane 5: 30km/h </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w:t>
            </w:r>
            <w:r>
              <w:rPr>
                <w:rFonts w:ascii="Times New Roman" w:eastAsia="宋体" w:hAnsi="Times New Roman"/>
                <w:bCs/>
                <w:sz w:val="20"/>
                <w:szCs w:val="20"/>
              </w:rPr>
              <w:tab/>
              <w:t xml:space="preserve">   Speed in Lane 6: 20km/h</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 in urban grid:</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Option A: Vehicle speed is 60 km/h in all the lanes</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 xml:space="preserve">Option B: </w:t>
            </w:r>
          </w:p>
          <w:p w:rsidR="0048332A" w:rsidRDefault="008337A7">
            <w:pPr>
              <w:pStyle w:val="TAL"/>
              <w:snapToGrid w:val="0"/>
              <w:rPr>
                <w:rFonts w:ascii="Times New Roman" w:hAnsi="Times New Roman"/>
                <w:bCs/>
                <w:sz w:val="20"/>
              </w:rPr>
            </w:pPr>
            <w:r>
              <w:rPr>
                <w:rFonts w:ascii="Times New Roman" w:hAnsi="Times New Roman"/>
                <w:bCs/>
                <w:sz w:val="20"/>
              </w:rPr>
              <w:t>-</w:t>
            </w:r>
            <w:r>
              <w:rPr>
                <w:rFonts w:ascii="Times New Roman" w:hAnsi="Times New Roman"/>
                <w:bCs/>
                <w:sz w:val="20"/>
              </w:rPr>
              <w:tab/>
              <w:t>Speed in Lane 1: 60km/h</w:t>
            </w:r>
          </w:p>
          <w:p w:rsidR="0048332A" w:rsidRDefault="008337A7">
            <w:pPr>
              <w:pStyle w:val="TAL"/>
              <w:snapToGrid w:val="0"/>
              <w:rPr>
                <w:rFonts w:ascii="Times New Roman" w:hAnsi="Times New Roman"/>
                <w:bCs/>
                <w:sz w:val="20"/>
              </w:rPr>
            </w:pPr>
            <w:r>
              <w:rPr>
                <w:rFonts w:ascii="Times New Roman" w:hAnsi="Times New Roman"/>
                <w:bCs/>
                <w:sz w:val="20"/>
              </w:rPr>
              <w:t>-</w:t>
            </w:r>
            <w:r>
              <w:rPr>
                <w:rFonts w:ascii="Times New Roman" w:hAnsi="Times New Roman"/>
                <w:bCs/>
                <w:sz w:val="20"/>
              </w:rPr>
              <w:tab/>
              <w:t xml:space="preserve">Speed in Lane 2: 50km/h </w:t>
            </w:r>
          </w:p>
          <w:p w:rsidR="0048332A" w:rsidRDefault="008337A7">
            <w:pPr>
              <w:pStyle w:val="TAL"/>
              <w:snapToGrid w:val="0"/>
              <w:rPr>
                <w:rFonts w:ascii="Times New Roman" w:hAnsi="Times New Roman"/>
                <w:bCs/>
                <w:sz w:val="20"/>
              </w:rPr>
            </w:pPr>
            <w:r>
              <w:rPr>
                <w:rFonts w:ascii="Times New Roman" w:hAnsi="Times New Roman"/>
                <w:bCs/>
                <w:sz w:val="20"/>
              </w:rPr>
              <w:t>-</w:t>
            </w:r>
            <w:r>
              <w:rPr>
                <w:rFonts w:ascii="Times New Roman" w:hAnsi="Times New Roman"/>
                <w:bCs/>
                <w:sz w:val="20"/>
              </w:rPr>
              <w:tab/>
              <w:t xml:space="preserve">Speed in Lane 3: 25km/h </w:t>
            </w:r>
          </w:p>
          <w:p w:rsidR="0048332A" w:rsidRDefault="008337A7">
            <w:pPr>
              <w:pStyle w:val="TAL"/>
              <w:snapToGrid w:val="0"/>
              <w:rPr>
                <w:rFonts w:ascii="Times New Roman" w:hAnsi="Times New Roman"/>
                <w:bCs/>
                <w:sz w:val="20"/>
              </w:rPr>
            </w:pPr>
            <w:r>
              <w:rPr>
                <w:rFonts w:ascii="Times New Roman" w:hAnsi="Times New Roman"/>
                <w:bCs/>
                <w:sz w:val="20"/>
              </w:rPr>
              <w:lastRenderedPageBreak/>
              <w:t>-</w:t>
            </w:r>
            <w:r>
              <w:rPr>
                <w:rFonts w:ascii="Times New Roman" w:hAnsi="Times New Roman"/>
                <w:bCs/>
                <w:sz w:val="20"/>
              </w:rPr>
              <w:tab/>
              <w:t>Speed in Lane 4: 15km/h</w:t>
            </w:r>
          </w:p>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 xml:space="preserve">For road </w:t>
            </w:r>
            <w:proofErr w:type="gramStart"/>
            <w:r>
              <w:rPr>
                <w:rFonts w:ascii="Times New Roman" w:eastAsia="宋体" w:hAnsi="Times New Roman"/>
                <w:bCs/>
                <w:sz w:val="20"/>
                <w:szCs w:val="20"/>
              </w:rPr>
              <w:t>as</w:t>
            </w:r>
            <w:proofErr w:type="gramEnd"/>
            <w:r>
              <w:rPr>
                <w:rFonts w:ascii="Times New Roman" w:eastAsia="宋体" w:hAnsi="Times New Roman"/>
                <w:bCs/>
                <w:sz w:val="20"/>
                <w:szCs w:val="20"/>
              </w:rPr>
              <w:t xml:space="preserve"> sensing target: 0km/h</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Distribution</w:t>
            </w:r>
          </w:p>
        </w:tc>
        <w:tc>
          <w:tcPr>
            <w:tcW w:w="5803"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The distance between the rear bumper of a vehicle and the front bumper of the following vehicle in the same lane is max {2 meter, an exponential random variable with the average of the speed * 2 sec}.</w:t>
            </w:r>
          </w:p>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 xml:space="preserve">For road </w:t>
            </w:r>
            <w:proofErr w:type="gramStart"/>
            <w:r>
              <w:rPr>
                <w:rFonts w:ascii="Times New Roman" w:hAnsi="Times New Roman"/>
                <w:bCs/>
                <w:sz w:val="20"/>
                <w:szCs w:val="20"/>
              </w:rPr>
              <w:t>as</w:t>
            </w:r>
            <w:proofErr w:type="gramEnd"/>
            <w:r>
              <w:rPr>
                <w:rFonts w:ascii="Times New Roman" w:hAnsi="Times New Roman"/>
                <w:bCs/>
                <w:sz w:val="20"/>
                <w:szCs w:val="20"/>
              </w:rPr>
              <w:t xml:space="preserve"> sensing target: all lanes</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Orientation</w:t>
            </w:r>
          </w:p>
        </w:tc>
        <w:tc>
          <w:tcPr>
            <w:tcW w:w="5803"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Lane direction in horizontal plane</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89"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 xml:space="preserve">Physical </w:t>
            </w:r>
          </w:p>
          <w:p w:rsidR="0048332A" w:rsidRDefault="008337A7">
            <w:pPr>
              <w:pStyle w:val="TAL"/>
              <w:snapToGrid w:val="0"/>
              <w:rPr>
                <w:rFonts w:ascii="Times New Roman" w:hAnsi="Times New Roman"/>
                <w:bCs/>
                <w:sz w:val="20"/>
              </w:rPr>
            </w:pPr>
            <w:r>
              <w:rPr>
                <w:rFonts w:ascii="Times New Roman" w:hAnsi="Times New Roman"/>
                <w:bCs/>
                <w:sz w:val="20"/>
              </w:rPr>
              <w:t>characteristics</w:t>
            </w:r>
          </w:p>
        </w:tc>
        <w:tc>
          <w:tcPr>
            <w:tcW w:w="5803"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eastAsia="宋体" w:hAnsi="Times New Roman"/>
                <w:bCs/>
                <w:sz w:val="20"/>
                <w:szCs w:val="20"/>
              </w:rPr>
              <w:t>For vehicle as sensing target:</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Type 1/2 (passenger vehicle): 5m x 2m x 1.6m</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Type 3 (truck/bus): 13m x 2.6m x 3m</w:t>
            </w:r>
          </w:p>
        </w:tc>
      </w:tr>
      <w:tr w:rsidR="0048332A">
        <w:tc>
          <w:tcPr>
            <w:tcW w:w="0" w:type="auto"/>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rFonts w:eastAsia="t"/>
                <w:bCs/>
                <w:sz w:val="20"/>
                <w:szCs w:val="20"/>
              </w:rPr>
            </w:pPr>
            <w:r>
              <w:rPr>
                <w:rFonts w:hint="eastAsia"/>
                <w:bCs/>
                <w:sz w:val="20"/>
              </w:rPr>
              <w:t>E</w:t>
            </w:r>
            <w:r>
              <w:rPr>
                <w:bCs/>
                <w:sz w:val="20"/>
              </w:rPr>
              <w:t>valuation metrics</w:t>
            </w:r>
          </w:p>
        </w:tc>
        <w:tc>
          <w:tcPr>
            <w:tcW w:w="759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hAnsi="Times New Roman"/>
                <w:bCs/>
                <w:sz w:val="20"/>
                <w:szCs w:val="22"/>
              </w:rPr>
              <w:t>Horizontal/vertical localization accuracy</w:t>
            </w:r>
            <w:r>
              <w:rPr>
                <w:rFonts w:ascii="Times New Roman" w:eastAsiaTheme="minorEastAsia" w:hAnsi="Times New Roman" w:hint="eastAsia"/>
                <w:bCs/>
                <w:sz w:val="20"/>
                <w:szCs w:val="22"/>
              </w:rPr>
              <w:t>,</w:t>
            </w:r>
            <w:r>
              <w:rPr>
                <w:rFonts w:ascii="Times New Roman" w:eastAsiaTheme="minorEastAsia" w:hAnsi="Times New Roman"/>
                <w:bCs/>
                <w:sz w:val="20"/>
                <w:szCs w:val="22"/>
              </w:rPr>
              <w:t xml:space="preserve"> </w:t>
            </w:r>
            <w:r>
              <w:rPr>
                <w:rFonts w:ascii="Times New Roman" w:hAnsi="Times New Roman"/>
                <w:bCs/>
                <w:sz w:val="20"/>
                <w:szCs w:val="22"/>
              </w:rPr>
              <w:t>velocity accuracy, missing detection probability, false alarm probability</w:t>
            </w:r>
          </w:p>
        </w:tc>
      </w:tr>
    </w:tbl>
    <w:p w:rsidR="0048332A" w:rsidRDefault="008337A7">
      <w:pPr>
        <w:pStyle w:val="Heading4"/>
        <w:tabs>
          <w:tab w:val="left" w:pos="720"/>
        </w:tabs>
        <w:snapToGrid w:val="0"/>
        <w:spacing w:before="240" w:afterLines="50" w:after="120"/>
        <w:jc w:val="both"/>
        <w:rPr>
          <w:b/>
          <w:sz w:val="22"/>
        </w:rPr>
      </w:pPr>
      <w:r>
        <w:rPr>
          <w:rFonts w:hint="eastAsia"/>
          <w:b/>
          <w:sz w:val="22"/>
        </w:rPr>
        <w:t>3.</w:t>
      </w:r>
      <w:r>
        <w:rPr>
          <w:b/>
          <w:sz w:val="22"/>
        </w:rPr>
        <w:t>2</w:t>
      </w:r>
      <w:r>
        <w:rPr>
          <w:rFonts w:hint="eastAsia"/>
          <w:b/>
          <w:sz w:val="22"/>
        </w:rPr>
        <w:t>.</w:t>
      </w:r>
      <w:r>
        <w:rPr>
          <w:b/>
          <w:sz w:val="22"/>
        </w:rPr>
        <w:t>2</w:t>
      </w:r>
      <w:r>
        <w:rPr>
          <w:rFonts w:hint="eastAsia"/>
          <w:b/>
          <w:sz w:val="22"/>
        </w:rPr>
        <w:t>.</w:t>
      </w:r>
      <w:r>
        <w:rPr>
          <w:b/>
          <w:sz w:val="22"/>
        </w:rPr>
        <w:t>4</w:t>
      </w:r>
      <w:r>
        <w:rPr>
          <w:rFonts w:hint="eastAsia"/>
          <w:b/>
          <w:sz w:val="22"/>
        </w:rPr>
        <w:t xml:space="preserve"> </w:t>
      </w:r>
      <w:r>
        <w:rPr>
          <w:b/>
          <w:sz w:val="22"/>
        </w:rPr>
        <w:t>Nearshore waters</w:t>
      </w:r>
    </w:p>
    <w:p w:rsidR="0048332A" w:rsidRDefault="008337A7">
      <w:pPr>
        <w:snapToGrid w:val="0"/>
        <w:spacing w:beforeLines="50" w:before="120" w:after="120"/>
        <w:rPr>
          <w:sz w:val="20"/>
        </w:rPr>
      </w:pPr>
      <w:r>
        <w:rPr>
          <w:sz w:val="20"/>
        </w:rPr>
        <w:t xml:space="preserve">In nearshore water scenarios, the sensing targets are ships traveling on nearshore waters or rivers, </w:t>
      </w:r>
      <w:r w:rsidR="00E66D64">
        <w:rPr>
          <w:sz w:val="20"/>
        </w:rPr>
        <w:t>BS</w:t>
      </w:r>
      <w:r>
        <w:rPr>
          <w:sz w:val="20"/>
        </w:rPr>
        <w:t>s are primarily land-based as shown in Figure 3-2-4. Monostatic or bistatic sensing can be performed using TRPs and/or UEs selected from the corresponding communication scenario.</w:t>
      </w:r>
    </w:p>
    <w:p w:rsidR="0048332A" w:rsidRDefault="008337A7">
      <w:pPr>
        <w:snapToGrid w:val="0"/>
        <w:spacing w:beforeLines="50" w:before="120" w:after="120"/>
        <w:jc w:val="center"/>
        <w:rPr>
          <w:sz w:val="20"/>
          <w:szCs w:val="20"/>
        </w:rPr>
      </w:pPr>
      <w:r>
        <w:rPr>
          <w:noProof/>
          <w:sz w:val="20"/>
          <w:szCs w:val="20"/>
        </w:rPr>
        <w:drawing>
          <wp:inline distT="0" distB="0" distL="0" distR="0">
            <wp:extent cx="5259070" cy="22567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59070" cy="2256790"/>
                    </a:xfrm>
                    <a:prstGeom prst="rect">
                      <a:avLst/>
                    </a:prstGeom>
                    <a:noFill/>
                    <a:ln>
                      <a:noFill/>
                    </a:ln>
                  </pic:spPr>
                </pic:pic>
              </a:graphicData>
            </a:graphic>
          </wp:inline>
        </w:drawing>
      </w:r>
    </w:p>
    <w:p w:rsidR="0048332A" w:rsidRDefault="008337A7">
      <w:pPr>
        <w:snapToGrid w:val="0"/>
        <w:spacing w:beforeLines="50" w:before="120" w:after="120"/>
        <w:jc w:val="center"/>
        <w:rPr>
          <w:sz w:val="20"/>
          <w:szCs w:val="20"/>
        </w:rPr>
      </w:pPr>
      <w:r>
        <w:rPr>
          <w:rFonts w:hint="eastAsia"/>
          <w:b/>
          <w:sz w:val="20"/>
          <w:szCs w:val="20"/>
          <w:lang w:eastAsia="en-US"/>
        </w:rPr>
        <w:t>Figure</w:t>
      </w:r>
      <w:r>
        <w:rPr>
          <w:b/>
          <w:sz w:val="20"/>
          <w:szCs w:val="20"/>
          <w:lang w:eastAsia="en-US"/>
        </w:rPr>
        <w:t xml:space="preserve"> 3-2-4</w:t>
      </w:r>
      <w:r>
        <w:rPr>
          <w:sz w:val="20"/>
          <w:szCs w:val="20"/>
        </w:rPr>
        <w:t xml:space="preserve"> </w:t>
      </w:r>
      <w:r>
        <w:rPr>
          <w:rFonts w:hint="eastAsia"/>
          <w:sz w:val="20"/>
          <w:szCs w:val="20"/>
        </w:rPr>
        <w:t xml:space="preserve">Deployment scenario of nearshore waters </w:t>
      </w:r>
    </w:p>
    <w:p w:rsidR="0048332A" w:rsidRDefault="008337A7">
      <w:pPr>
        <w:snapToGrid w:val="0"/>
        <w:spacing w:beforeLines="50" w:before="120" w:after="120"/>
        <w:jc w:val="both"/>
        <w:rPr>
          <w:rFonts w:eastAsia="t"/>
          <w:sz w:val="20"/>
          <w:szCs w:val="20"/>
        </w:rPr>
      </w:pPr>
      <w:r>
        <w:rPr>
          <w:sz w:val="20"/>
          <w:szCs w:val="20"/>
        </w:rPr>
        <w:t>ISAC related descriptions including sensing target characteristics, sensing transmitter and sensing receiver are proposed, some of its attributes are listed in Table 3-2-7.</w:t>
      </w:r>
    </w:p>
    <w:p w:rsidR="0048332A" w:rsidRDefault="008337A7">
      <w:pPr>
        <w:pStyle w:val="TH"/>
        <w:snapToGrid w:val="0"/>
        <w:rPr>
          <w:rFonts w:ascii="Times New Roman" w:hAnsi="Times New Roman"/>
          <w:b w:val="0"/>
          <w:bCs/>
        </w:rPr>
      </w:pPr>
      <w:r>
        <w:rPr>
          <w:rFonts w:ascii="Times New Roman" w:hAnsi="Times New Roman"/>
          <w:bCs/>
        </w:rPr>
        <w:t>Table 3-2-7</w:t>
      </w:r>
      <w:r>
        <w:rPr>
          <w:rFonts w:ascii="Times New Roman" w:hAnsi="Times New Roman"/>
          <w:b w:val="0"/>
          <w:bCs/>
        </w:rPr>
        <w:t xml:space="preserve"> Attributes of Nearshore waters</w:t>
      </w: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48332A">
        <w:tc>
          <w:tcPr>
            <w:tcW w:w="1740" w:type="dxa"/>
            <w:tcBorders>
              <w:top w:val="single" w:sz="4" w:space="0" w:color="auto"/>
              <w:left w:val="single" w:sz="4" w:space="0" w:color="auto"/>
              <w:bottom w:val="single" w:sz="4" w:space="0" w:color="auto"/>
              <w:right w:val="single" w:sz="4" w:space="0" w:color="auto"/>
            </w:tcBorders>
          </w:tcPr>
          <w:p w:rsidR="0048332A" w:rsidRDefault="008337A7">
            <w:pPr>
              <w:snapToGrid w:val="0"/>
              <w:ind w:leftChars="-210" w:left="-462" w:firstLineChars="210" w:firstLine="420"/>
              <w:jc w:val="center"/>
              <w:rPr>
                <w:rFonts w:eastAsia="Arial Unicode MS"/>
                <w:bCs/>
                <w:sz w:val="20"/>
                <w:szCs w:val="20"/>
              </w:rPr>
            </w:pPr>
            <w:r>
              <w:rPr>
                <w:rFonts w:eastAsia="Arial Unicode MS"/>
                <w:bCs/>
                <w:sz w:val="20"/>
                <w:szCs w:val="20"/>
              </w:rPr>
              <w:t>Attributes</w:t>
            </w:r>
          </w:p>
        </w:tc>
        <w:tc>
          <w:tcPr>
            <w:tcW w:w="7502" w:type="dxa"/>
            <w:gridSpan w:val="2"/>
            <w:tcBorders>
              <w:top w:val="single" w:sz="4" w:space="0" w:color="auto"/>
              <w:left w:val="nil"/>
              <w:bottom w:val="single" w:sz="4" w:space="0" w:color="auto"/>
              <w:right w:val="single" w:sz="4" w:space="0" w:color="auto"/>
            </w:tcBorders>
          </w:tcPr>
          <w:p w:rsidR="0048332A" w:rsidRDefault="008337A7">
            <w:pPr>
              <w:snapToGrid w:val="0"/>
              <w:jc w:val="center"/>
              <w:rPr>
                <w:rFonts w:eastAsia="Arial Unicode MS"/>
                <w:bCs/>
                <w:sz w:val="20"/>
                <w:szCs w:val="20"/>
              </w:rPr>
            </w:pPr>
            <w:r>
              <w:rPr>
                <w:rFonts w:eastAsia="Arial Unicode MS"/>
                <w:bCs/>
                <w:sz w:val="20"/>
                <w:szCs w:val="20"/>
              </w:rPr>
              <w:t>Values or assumptions</w:t>
            </w:r>
          </w:p>
        </w:tc>
      </w:tr>
      <w:tr w:rsidR="0048332A">
        <w:tc>
          <w:tcPr>
            <w:tcW w:w="1740"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7 GHz</w:t>
            </w:r>
          </w:p>
        </w:tc>
      </w:tr>
      <w:tr w:rsidR="0048332A">
        <w:tc>
          <w:tcPr>
            <w:tcW w:w="1740"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 xml:space="preserve">Macro cell: ISD = </w:t>
            </w:r>
            <w:r>
              <w:rPr>
                <w:rFonts w:ascii="Times New Roman" w:eastAsia="Arial Unicode MS" w:hAnsi="Times New Roman" w:hint="eastAsia"/>
                <w:bCs/>
                <w:sz w:val="20"/>
              </w:rPr>
              <w:t xml:space="preserve">at least </w:t>
            </w:r>
            <w:r>
              <w:rPr>
                <w:rFonts w:ascii="Times New Roman" w:eastAsia="Arial Unicode MS" w:hAnsi="Times New Roman"/>
                <w:bCs/>
                <w:sz w:val="20"/>
              </w:rPr>
              <w:t xml:space="preserve">500m </w:t>
            </w:r>
          </w:p>
        </w:tc>
      </w:tr>
      <w:tr w:rsidR="0048332A">
        <w:tc>
          <w:tcPr>
            <w:tcW w:w="1740"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eastAsia="t" w:hAnsi="Times New Roman"/>
                <w:bCs/>
                <w:sz w:val="20"/>
              </w:rPr>
            </w:pPr>
            <w:r>
              <w:rPr>
                <w:rFonts w:ascii="Times New Roman" w:hAnsi="Times New Roman"/>
                <w:bCs/>
                <w:sz w:val="20"/>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Tx: Up to 1536/2048 Tx</w:t>
            </w:r>
          </w:p>
          <w:p w:rsidR="0048332A" w:rsidRDefault="008337A7">
            <w:pPr>
              <w:pStyle w:val="TAL"/>
              <w:snapToGrid w:val="0"/>
              <w:rPr>
                <w:rFonts w:ascii="Times New Roman" w:eastAsia="Arial Unicode MS" w:hAnsi="Times New Roman"/>
                <w:bCs/>
                <w:sz w:val="20"/>
              </w:rPr>
            </w:pPr>
            <w:r>
              <w:rPr>
                <w:rFonts w:ascii="Times New Roman" w:eastAsia="Arial Unicode MS" w:hAnsi="Times New Roman"/>
                <w:bCs/>
                <w:sz w:val="20"/>
              </w:rPr>
              <w:t xml:space="preserve">Rx: Up to 1536/2048 Rx </w:t>
            </w:r>
          </w:p>
        </w:tc>
      </w:tr>
      <w:tr w:rsidR="0048332A">
        <w:tc>
          <w:tcPr>
            <w:tcW w:w="1740" w:type="dxa"/>
            <w:tcBorders>
              <w:top w:val="single" w:sz="4" w:space="0" w:color="auto"/>
              <w:left w:val="single" w:sz="4" w:space="0" w:color="auto"/>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lang w:eastAsia="zh-CN"/>
              </w:rPr>
            </w:pPr>
            <w:r>
              <w:rPr>
                <w:rFonts w:ascii="Times New Roman" w:hAnsi="Times New Roman"/>
                <w:bCs/>
                <w:sz w:val="20"/>
                <w:szCs w:val="22"/>
              </w:rPr>
              <w:t>Sensing transmitters and sensing receivers</w:t>
            </w:r>
          </w:p>
        </w:tc>
        <w:tc>
          <w:tcPr>
            <w:tcW w:w="750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eastAsiaTheme="minorEastAsia" w:hAnsi="Times New Roman"/>
                <w:bCs/>
                <w:sz w:val="20"/>
                <w:szCs w:val="22"/>
              </w:rPr>
              <w:t>TRP monostatic, TRP-TRP bistatic</w:t>
            </w:r>
          </w:p>
        </w:tc>
      </w:tr>
      <w:tr w:rsidR="0048332A">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rsidR="0048332A" w:rsidRDefault="008337A7">
            <w:pPr>
              <w:pStyle w:val="TAL"/>
              <w:snapToGrid w:val="0"/>
              <w:rPr>
                <w:rFonts w:ascii="Times New Roman" w:eastAsia="t" w:hAnsi="Times New Roman"/>
                <w:bCs/>
                <w:sz w:val="20"/>
              </w:rPr>
            </w:pPr>
            <w:r>
              <w:rPr>
                <w:rFonts w:ascii="Times New Roman" w:hAnsi="Times New Roman"/>
                <w:bCs/>
                <w:sz w:val="20"/>
              </w:rPr>
              <w:t>Sensing targets</w:t>
            </w:r>
          </w:p>
        </w:tc>
        <w:tc>
          <w:tcPr>
            <w:tcW w:w="1775"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hAnsi="Times New Roman"/>
                <w:bCs/>
                <w:sz w:val="20"/>
              </w:rPr>
              <w:t>Outdoor/indoor</w:t>
            </w:r>
          </w:p>
        </w:tc>
        <w:tc>
          <w:tcPr>
            <w:tcW w:w="5727"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eastAsia="Arial Unicode MS" w:hAnsi="Times New Roman"/>
                <w:bCs/>
                <w:sz w:val="20"/>
              </w:rPr>
            </w:pPr>
            <w:r>
              <w:rPr>
                <w:rFonts w:ascii="Times New Roman" w:hAnsi="Times New Roman"/>
                <w:bCs/>
                <w:sz w:val="20"/>
              </w:rPr>
              <w:t>Outdoor</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Mobility</w:t>
            </w:r>
          </w:p>
        </w:tc>
        <w:tc>
          <w:tcPr>
            <w:tcW w:w="5727"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eastAsia="宋体" w:hAnsi="Times New Roman"/>
                <w:bCs/>
                <w:sz w:val="20"/>
                <w:szCs w:val="20"/>
              </w:rPr>
            </w:pPr>
            <w:r>
              <w:rPr>
                <w:rFonts w:ascii="Times New Roman" w:hAnsi="Times New Roman"/>
                <w:bCs/>
                <w:sz w:val="20"/>
                <w:szCs w:val="20"/>
              </w:rPr>
              <w:t xml:space="preserve">Uniform distribution between </w:t>
            </w:r>
            <w:r>
              <w:rPr>
                <w:rFonts w:ascii="Times New Roman" w:eastAsia="宋体" w:hAnsi="Times New Roman" w:hint="eastAsia"/>
                <w:bCs/>
                <w:sz w:val="20"/>
                <w:szCs w:val="20"/>
              </w:rPr>
              <w:t>10</w:t>
            </w:r>
            <w:r>
              <w:rPr>
                <w:rFonts w:ascii="Times New Roman" w:hAnsi="Times New Roman"/>
                <w:bCs/>
                <w:sz w:val="20"/>
                <w:szCs w:val="20"/>
              </w:rPr>
              <w:t>km/h and 60km/h</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Distribution</w:t>
            </w:r>
          </w:p>
        </w:tc>
        <w:tc>
          <w:tcPr>
            <w:tcW w:w="5727"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Uniformly distributed with a sensing area</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48332A" w:rsidRDefault="008337A7">
            <w:pPr>
              <w:pStyle w:val="TAL"/>
              <w:snapToGrid w:val="0"/>
              <w:rPr>
                <w:rFonts w:ascii="Times New Roman" w:hAnsi="Times New Roman"/>
                <w:bCs/>
                <w:sz w:val="20"/>
              </w:rPr>
            </w:pPr>
            <w:r>
              <w:rPr>
                <w:rFonts w:ascii="Times New Roman" w:hAnsi="Times New Roman"/>
                <w:bCs/>
                <w:sz w:val="20"/>
              </w:rPr>
              <w:t>Orientation</w:t>
            </w:r>
          </w:p>
        </w:tc>
        <w:tc>
          <w:tcPr>
            <w:tcW w:w="5727"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0"/>
              </w:rPr>
              <w:t>Random in the horizontal domain</w:t>
            </w:r>
          </w:p>
        </w:tc>
      </w:tr>
      <w:tr w:rsidR="0048332A">
        <w:tc>
          <w:tcPr>
            <w:tcW w:w="0" w:type="auto"/>
            <w:vMerge/>
            <w:tcBorders>
              <w:top w:val="nil"/>
              <w:left w:val="single" w:sz="4" w:space="0" w:color="auto"/>
              <w:bottom w:val="single" w:sz="4" w:space="0" w:color="auto"/>
              <w:right w:val="single" w:sz="4" w:space="0" w:color="auto"/>
            </w:tcBorders>
            <w:vAlign w:val="center"/>
          </w:tcPr>
          <w:p w:rsidR="0048332A" w:rsidRDefault="0048332A">
            <w:pPr>
              <w:snapToGrid w:val="0"/>
              <w:rPr>
                <w:rFonts w:eastAsia="t"/>
                <w:bCs/>
                <w:sz w:val="20"/>
                <w:szCs w:val="20"/>
              </w:rPr>
            </w:pPr>
          </w:p>
        </w:tc>
        <w:tc>
          <w:tcPr>
            <w:tcW w:w="1775"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eastAsia="宋体" w:hAnsi="Times New Roman"/>
                <w:bCs/>
                <w:sz w:val="20"/>
                <w:szCs w:val="20"/>
              </w:rPr>
            </w:pPr>
            <w:r>
              <w:rPr>
                <w:rFonts w:ascii="Times New Roman" w:eastAsia="宋体" w:hAnsi="Times New Roman"/>
                <w:bCs/>
                <w:sz w:val="20"/>
                <w:szCs w:val="20"/>
              </w:rPr>
              <w:t xml:space="preserve">Physical </w:t>
            </w:r>
          </w:p>
          <w:p w:rsidR="0048332A" w:rsidRDefault="008337A7">
            <w:pPr>
              <w:pStyle w:val="TAL"/>
              <w:snapToGrid w:val="0"/>
              <w:rPr>
                <w:rFonts w:ascii="Times New Roman" w:hAnsi="Times New Roman"/>
                <w:bCs/>
                <w:sz w:val="20"/>
              </w:rPr>
            </w:pPr>
            <w:r>
              <w:rPr>
                <w:rFonts w:ascii="Times New Roman" w:hAnsi="Times New Roman"/>
                <w:bCs/>
                <w:sz w:val="20"/>
              </w:rPr>
              <w:t>characteristics</w:t>
            </w:r>
          </w:p>
        </w:tc>
        <w:tc>
          <w:tcPr>
            <w:tcW w:w="5727" w:type="dxa"/>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Size (Length x Width x Height):</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Ship 1: 270m x 30m x 30m</w:t>
            </w:r>
          </w:p>
          <w:p w:rsidR="0048332A" w:rsidRDefault="008337A7">
            <w:pPr>
              <w:pStyle w:val="TAN"/>
              <w:snapToGrid w:val="0"/>
              <w:spacing w:before="0" w:beforeAutospacing="0"/>
              <w:rPr>
                <w:rFonts w:ascii="Times New Roman" w:hAnsi="Times New Roman"/>
                <w:bCs/>
                <w:sz w:val="20"/>
                <w:szCs w:val="20"/>
              </w:rPr>
            </w:pPr>
            <w:r>
              <w:rPr>
                <w:rFonts w:ascii="Times New Roman" w:hAnsi="Times New Roman"/>
                <w:bCs/>
                <w:sz w:val="20"/>
                <w:szCs w:val="20"/>
              </w:rPr>
              <w:t>- Ship 2: 100m x 15m x 15m</w:t>
            </w:r>
          </w:p>
        </w:tc>
      </w:tr>
      <w:tr w:rsidR="0048332A">
        <w:tc>
          <w:tcPr>
            <w:tcW w:w="0" w:type="auto"/>
            <w:tcBorders>
              <w:top w:val="single" w:sz="4" w:space="0" w:color="auto"/>
              <w:left w:val="single" w:sz="4" w:space="0" w:color="auto"/>
              <w:bottom w:val="single" w:sz="4" w:space="0" w:color="auto"/>
              <w:right w:val="single" w:sz="4" w:space="0" w:color="auto"/>
            </w:tcBorders>
            <w:vAlign w:val="center"/>
          </w:tcPr>
          <w:p w:rsidR="0048332A" w:rsidRDefault="008337A7">
            <w:pPr>
              <w:snapToGrid w:val="0"/>
              <w:rPr>
                <w:rFonts w:eastAsia="t"/>
                <w:bCs/>
                <w:sz w:val="20"/>
                <w:szCs w:val="20"/>
              </w:rPr>
            </w:pPr>
            <w:r>
              <w:rPr>
                <w:rFonts w:hint="eastAsia"/>
                <w:bCs/>
                <w:sz w:val="20"/>
              </w:rPr>
              <w:t>E</w:t>
            </w:r>
            <w:r>
              <w:rPr>
                <w:bCs/>
                <w:sz w:val="20"/>
              </w:rPr>
              <w:t>valuation metrics</w:t>
            </w:r>
          </w:p>
        </w:tc>
        <w:tc>
          <w:tcPr>
            <w:tcW w:w="7502" w:type="dxa"/>
            <w:gridSpan w:val="2"/>
            <w:tcBorders>
              <w:top w:val="single" w:sz="4" w:space="0" w:color="auto"/>
              <w:left w:val="nil"/>
              <w:bottom w:val="single" w:sz="4" w:space="0" w:color="auto"/>
              <w:right w:val="single" w:sz="4" w:space="0" w:color="auto"/>
            </w:tcBorders>
            <w:shd w:val="clear" w:color="auto" w:fill="FFFFFF"/>
          </w:tcPr>
          <w:p w:rsidR="0048332A" w:rsidRDefault="008337A7">
            <w:pPr>
              <w:pStyle w:val="TAN"/>
              <w:snapToGrid w:val="0"/>
              <w:spacing w:before="0" w:beforeAutospacing="0"/>
              <w:ind w:left="0" w:firstLine="0"/>
              <w:rPr>
                <w:rFonts w:ascii="Times New Roman" w:hAnsi="Times New Roman"/>
                <w:bCs/>
                <w:sz w:val="20"/>
                <w:szCs w:val="20"/>
              </w:rPr>
            </w:pPr>
            <w:r>
              <w:rPr>
                <w:rFonts w:ascii="Times New Roman" w:hAnsi="Times New Roman"/>
                <w:bCs/>
                <w:sz w:val="20"/>
                <w:szCs w:val="22"/>
              </w:rPr>
              <w:t>Horizontal/vertical localization accuracy</w:t>
            </w:r>
            <w:r>
              <w:rPr>
                <w:rFonts w:ascii="Times New Roman" w:eastAsiaTheme="minorEastAsia" w:hAnsi="Times New Roman" w:hint="eastAsia"/>
                <w:bCs/>
                <w:sz w:val="20"/>
                <w:szCs w:val="22"/>
              </w:rPr>
              <w:t>,</w:t>
            </w:r>
            <w:r>
              <w:rPr>
                <w:rFonts w:ascii="Times New Roman" w:eastAsiaTheme="minorEastAsia" w:hAnsi="Times New Roman"/>
                <w:bCs/>
                <w:sz w:val="20"/>
                <w:szCs w:val="22"/>
              </w:rPr>
              <w:t xml:space="preserve"> </w:t>
            </w:r>
            <w:r>
              <w:rPr>
                <w:rFonts w:ascii="Times New Roman" w:hAnsi="Times New Roman"/>
                <w:bCs/>
                <w:sz w:val="20"/>
                <w:szCs w:val="22"/>
              </w:rPr>
              <w:t>velocity accuracy, missing detection probability, false alarm probability</w:t>
            </w:r>
          </w:p>
        </w:tc>
      </w:tr>
    </w:tbl>
    <w:p w:rsidR="0048332A" w:rsidRDefault="0048332A">
      <w:pPr>
        <w:spacing w:after="120"/>
        <w:rPr>
          <w:rFonts w:eastAsia="Malgun Gothic"/>
          <w:lang w:eastAsia="ko-KR"/>
        </w:rPr>
      </w:pPr>
    </w:p>
    <w:p w:rsidR="0048332A" w:rsidRDefault="008337A7">
      <w:pPr>
        <w:numPr>
          <w:ilvl w:val="2"/>
          <w:numId w:val="1"/>
        </w:numPr>
        <w:snapToGrid w:val="0"/>
        <w:spacing w:before="240" w:afterLines="50" w:after="120"/>
        <w:ind w:left="0" w:firstLine="0"/>
        <w:jc w:val="both"/>
        <w:outlineLvl w:val="2"/>
        <w:rPr>
          <w:b/>
          <w:szCs w:val="28"/>
        </w:rPr>
      </w:pPr>
      <w:r>
        <w:rPr>
          <w:b/>
          <w:szCs w:val="28"/>
        </w:rPr>
        <w:t>Performance requirements</w:t>
      </w:r>
    </w:p>
    <w:p w:rsidR="0048332A" w:rsidRDefault="008337A7">
      <w:pPr>
        <w:snapToGrid w:val="0"/>
        <w:spacing w:beforeLines="50" w:before="120" w:afterLines="50" w:after="120"/>
        <w:rPr>
          <w:bCs/>
          <w:sz w:val="20"/>
          <w:szCs w:val="20"/>
        </w:rPr>
      </w:pPr>
      <w:r>
        <w:rPr>
          <w:rFonts w:hint="eastAsia"/>
          <w:iCs/>
          <w:sz w:val="20"/>
          <w:szCs w:val="20"/>
        </w:rPr>
        <w:t xml:space="preserve">Considering SA1 requirements and contributions, and the reality situation, the following requirements are suggested for all use cases suggested. </w:t>
      </w:r>
    </w:p>
    <w:p w:rsidR="0048332A" w:rsidRDefault="008337A7">
      <w:pPr>
        <w:snapToGrid w:val="0"/>
        <w:spacing w:beforeLines="50" w:before="120" w:afterLines="50" w:after="120"/>
        <w:jc w:val="both"/>
        <w:rPr>
          <w:bCs/>
          <w:i/>
          <w:sz w:val="20"/>
          <w:szCs w:val="20"/>
        </w:rPr>
      </w:pPr>
      <w:r>
        <w:rPr>
          <w:rFonts w:hint="eastAsia"/>
          <w:b/>
          <w:bCs/>
          <w:i/>
          <w:sz w:val="20"/>
          <w:szCs w:val="20"/>
        </w:rPr>
        <w:t xml:space="preserve">Proposal </w:t>
      </w:r>
      <w:r>
        <w:rPr>
          <w:b/>
          <w:bCs/>
          <w:i/>
          <w:sz w:val="20"/>
          <w:szCs w:val="20"/>
        </w:rPr>
        <w:t>3-2-4:</w:t>
      </w:r>
      <w:r>
        <w:rPr>
          <w:rFonts w:hint="eastAsia"/>
          <w:b/>
          <w:bCs/>
          <w:i/>
          <w:sz w:val="20"/>
          <w:szCs w:val="20"/>
        </w:rPr>
        <w:t xml:space="preserve"> </w:t>
      </w:r>
      <w:r>
        <w:rPr>
          <w:rFonts w:hint="eastAsia"/>
          <w:bCs/>
          <w:i/>
          <w:sz w:val="20"/>
          <w:szCs w:val="20"/>
        </w:rPr>
        <w:t xml:space="preserve">For ISAC, support </w:t>
      </w:r>
      <w:r>
        <w:rPr>
          <w:bCs/>
          <w:i/>
          <w:sz w:val="20"/>
          <w:szCs w:val="20"/>
        </w:rPr>
        <w:t>sensing performance requirement shown in Table 3-2-8</w:t>
      </w:r>
    </w:p>
    <w:p w:rsidR="0048332A" w:rsidRDefault="008337A7">
      <w:pPr>
        <w:pStyle w:val="TH"/>
        <w:snapToGrid w:val="0"/>
        <w:rPr>
          <w:rFonts w:ascii="Times New Roman" w:hAnsi="Times New Roman"/>
          <w:b w:val="0"/>
          <w:bCs/>
        </w:rPr>
      </w:pPr>
      <w:r>
        <w:rPr>
          <w:rFonts w:ascii="Times New Roman" w:hAnsi="Times New Roman"/>
          <w:bCs/>
        </w:rPr>
        <w:t>Table 3-2-8</w:t>
      </w:r>
      <w:r>
        <w:rPr>
          <w:rFonts w:ascii="Times New Roman" w:hAnsi="Times New Roman"/>
          <w:b w:val="0"/>
          <w:bCs/>
        </w:rPr>
        <w:t xml:space="preserve"> Sensing performance requirements</w:t>
      </w:r>
    </w:p>
    <w:tbl>
      <w:tblPr>
        <w:tblpPr w:leftFromText="180" w:rightFromText="180" w:vertAnchor="text" w:tblpXSpec="center" w:tblpY="1"/>
        <w:tblOverlap w:val="neve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6"/>
        <w:gridCol w:w="1067"/>
        <w:gridCol w:w="1349"/>
        <w:gridCol w:w="1013"/>
        <w:gridCol w:w="1349"/>
        <w:gridCol w:w="1351"/>
        <w:gridCol w:w="1011"/>
        <w:gridCol w:w="842"/>
      </w:tblGrid>
      <w:tr w:rsidR="0048332A">
        <w:trPr>
          <w:trHeight w:val="797"/>
        </w:trPr>
        <w:tc>
          <w:tcPr>
            <w:tcW w:w="1126" w:type="dxa"/>
            <w:vMerge w:val="restart"/>
            <w:shd w:val="clear" w:color="auto" w:fill="auto"/>
          </w:tcPr>
          <w:p w:rsidR="0048332A" w:rsidRDefault="008337A7">
            <w:pPr>
              <w:pStyle w:val="TAH"/>
              <w:snapToGrid w:val="0"/>
              <w:rPr>
                <w:rFonts w:ascii="Times New Roman" w:eastAsia="宋体" w:hAnsi="Times New Roman"/>
                <w:b w:val="0"/>
                <w:bCs/>
                <w:sz w:val="20"/>
                <w:lang w:val="en-US" w:eastAsia="zh-CN"/>
              </w:rPr>
            </w:pPr>
            <w:r>
              <w:rPr>
                <w:rFonts w:ascii="Times New Roman" w:eastAsia="宋体" w:hAnsi="Times New Roman" w:hint="eastAsia"/>
                <w:b w:val="0"/>
                <w:bCs/>
                <w:sz w:val="20"/>
                <w:lang w:val="en-US" w:eastAsia="zh-CN"/>
              </w:rPr>
              <w:t>Use cases</w:t>
            </w:r>
          </w:p>
        </w:tc>
        <w:tc>
          <w:tcPr>
            <w:tcW w:w="1067" w:type="dxa"/>
            <w:vMerge w:val="restart"/>
          </w:tcPr>
          <w:p w:rsidR="0048332A" w:rsidRDefault="008337A7">
            <w:pPr>
              <w:pStyle w:val="TAH"/>
              <w:snapToGrid w:val="0"/>
              <w:rPr>
                <w:rFonts w:ascii="Times New Roman" w:hAnsi="Times New Roman"/>
                <w:b w:val="0"/>
                <w:bCs/>
                <w:sz w:val="20"/>
              </w:rPr>
            </w:pPr>
            <w:r>
              <w:rPr>
                <w:rFonts w:ascii="Times New Roman" w:hAnsi="Times New Roman"/>
                <w:b w:val="0"/>
                <w:bCs/>
                <w:sz w:val="20"/>
              </w:rPr>
              <w:t>Sensing service category</w:t>
            </w:r>
          </w:p>
        </w:tc>
        <w:tc>
          <w:tcPr>
            <w:tcW w:w="2362" w:type="dxa"/>
            <w:gridSpan w:val="2"/>
            <w:shd w:val="clear" w:color="auto" w:fill="auto"/>
          </w:tcPr>
          <w:p w:rsidR="0048332A" w:rsidRDefault="008337A7">
            <w:pPr>
              <w:pStyle w:val="TAH"/>
              <w:snapToGrid w:val="0"/>
              <w:rPr>
                <w:rFonts w:ascii="Times New Roman" w:hAnsi="Times New Roman"/>
                <w:b w:val="0"/>
                <w:bCs/>
                <w:sz w:val="20"/>
              </w:rPr>
            </w:pPr>
            <w:r>
              <w:rPr>
                <w:rFonts w:ascii="Times New Roman" w:hAnsi="Times New Roman"/>
                <w:b w:val="0"/>
                <w:bCs/>
                <w:sz w:val="20"/>
              </w:rPr>
              <w:t xml:space="preserve">Accuracy of positioning estimate by sensing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2700" w:type="dxa"/>
            <w:gridSpan w:val="2"/>
            <w:shd w:val="clear" w:color="auto" w:fill="auto"/>
          </w:tcPr>
          <w:p w:rsidR="0048332A" w:rsidRDefault="008337A7">
            <w:pPr>
              <w:pStyle w:val="TAH"/>
              <w:snapToGrid w:val="0"/>
              <w:rPr>
                <w:rFonts w:ascii="Times New Roman" w:hAnsi="Times New Roman"/>
                <w:b w:val="0"/>
                <w:bCs/>
                <w:sz w:val="20"/>
              </w:rPr>
            </w:pPr>
            <w:r>
              <w:rPr>
                <w:rFonts w:ascii="Times New Roman" w:hAnsi="Times New Roman"/>
                <w:b w:val="0"/>
                <w:bCs/>
                <w:sz w:val="20"/>
              </w:rPr>
              <w:t xml:space="preserve">Accuracy of velocity estimate by sensing (for </w:t>
            </w:r>
            <w:r>
              <w:rPr>
                <w:rFonts w:ascii="Times New Roman" w:eastAsia="宋体" w:hAnsi="Times New Roman" w:hint="eastAsia"/>
                <w:b w:val="0"/>
                <w:bCs/>
                <w:sz w:val="20"/>
                <w:lang w:val="en-US" w:eastAsia="zh-CN"/>
              </w:rPr>
              <w:t>90% targets</w:t>
            </w:r>
            <w:r>
              <w:rPr>
                <w:rFonts w:ascii="Times New Roman" w:hAnsi="Times New Roman"/>
                <w:b w:val="0"/>
                <w:bCs/>
                <w:sz w:val="20"/>
              </w:rPr>
              <w:t>)</w:t>
            </w:r>
          </w:p>
        </w:tc>
        <w:tc>
          <w:tcPr>
            <w:tcW w:w="1011" w:type="dxa"/>
            <w:vMerge w:val="restart"/>
            <w:shd w:val="clear" w:color="auto" w:fill="auto"/>
          </w:tcPr>
          <w:p w:rsidR="0048332A" w:rsidRDefault="008337A7">
            <w:pPr>
              <w:pStyle w:val="TAH"/>
              <w:snapToGrid w:val="0"/>
              <w:rPr>
                <w:rFonts w:ascii="Times New Roman" w:hAnsi="Times New Roman"/>
                <w:b w:val="0"/>
                <w:bCs/>
                <w:sz w:val="20"/>
              </w:rPr>
            </w:pPr>
            <w:r>
              <w:rPr>
                <w:rFonts w:ascii="Times New Roman" w:hAnsi="Times New Roman"/>
                <w:b w:val="0"/>
                <w:bCs/>
                <w:sz w:val="20"/>
              </w:rPr>
              <w:t>Missed detection</w:t>
            </w:r>
          </w:p>
          <w:p w:rsidR="0048332A" w:rsidRDefault="008337A7">
            <w:pPr>
              <w:pStyle w:val="TAH"/>
              <w:snapToGrid w:val="0"/>
              <w:rPr>
                <w:rFonts w:ascii="Times New Roman" w:hAnsi="Times New Roman"/>
                <w:b w:val="0"/>
                <w:bCs/>
                <w:sz w:val="20"/>
              </w:rPr>
            </w:pPr>
            <w:r>
              <w:rPr>
                <w:rFonts w:ascii="Times New Roman" w:hAnsi="Times New Roman"/>
                <w:b w:val="0"/>
                <w:bCs/>
                <w:sz w:val="20"/>
              </w:rPr>
              <w:t>[%]</w:t>
            </w:r>
          </w:p>
          <w:p w:rsidR="0048332A" w:rsidRDefault="0048332A">
            <w:pPr>
              <w:pStyle w:val="TAH"/>
              <w:snapToGrid w:val="0"/>
              <w:rPr>
                <w:rFonts w:ascii="Times New Roman" w:hAnsi="Times New Roman"/>
                <w:b w:val="0"/>
                <w:bCs/>
                <w:sz w:val="20"/>
              </w:rPr>
            </w:pPr>
          </w:p>
        </w:tc>
        <w:tc>
          <w:tcPr>
            <w:tcW w:w="842" w:type="dxa"/>
            <w:vMerge w:val="restart"/>
          </w:tcPr>
          <w:p w:rsidR="0048332A" w:rsidRDefault="008337A7">
            <w:pPr>
              <w:pStyle w:val="TAH"/>
              <w:snapToGrid w:val="0"/>
              <w:rPr>
                <w:rFonts w:ascii="Times New Roman" w:hAnsi="Times New Roman"/>
                <w:b w:val="0"/>
                <w:bCs/>
                <w:sz w:val="20"/>
              </w:rPr>
            </w:pPr>
            <w:r>
              <w:rPr>
                <w:rFonts w:ascii="Times New Roman" w:hAnsi="Times New Roman"/>
                <w:b w:val="0"/>
                <w:bCs/>
                <w:sz w:val="20"/>
              </w:rPr>
              <w:t>False alarm</w:t>
            </w:r>
          </w:p>
          <w:p w:rsidR="0048332A" w:rsidRDefault="008337A7">
            <w:pPr>
              <w:pStyle w:val="TAH"/>
              <w:snapToGrid w:val="0"/>
              <w:rPr>
                <w:rFonts w:ascii="Times New Roman" w:hAnsi="Times New Roman"/>
                <w:b w:val="0"/>
                <w:bCs/>
                <w:sz w:val="20"/>
              </w:rPr>
            </w:pPr>
            <w:r>
              <w:rPr>
                <w:rFonts w:ascii="Times New Roman" w:hAnsi="Times New Roman"/>
                <w:b w:val="0"/>
                <w:bCs/>
                <w:sz w:val="20"/>
              </w:rPr>
              <w:t>[%]</w:t>
            </w:r>
          </w:p>
          <w:p w:rsidR="0048332A" w:rsidRDefault="0048332A">
            <w:pPr>
              <w:pStyle w:val="TAH"/>
              <w:snapToGrid w:val="0"/>
              <w:rPr>
                <w:rFonts w:ascii="Times New Roman" w:hAnsi="Times New Roman"/>
                <w:b w:val="0"/>
                <w:bCs/>
                <w:sz w:val="20"/>
              </w:rPr>
            </w:pPr>
          </w:p>
        </w:tc>
      </w:tr>
      <w:tr w:rsidR="0048332A">
        <w:trPr>
          <w:trHeight w:val="598"/>
        </w:trPr>
        <w:tc>
          <w:tcPr>
            <w:tcW w:w="1126" w:type="dxa"/>
            <w:vMerge/>
            <w:shd w:val="clear" w:color="auto" w:fill="auto"/>
          </w:tcPr>
          <w:p w:rsidR="0048332A" w:rsidRDefault="0048332A">
            <w:pPr>
              <w:pStyle w:val="TAH"/>
              <w:snapToGrid w:val="0"/>
              <w:rPr>
                <w:rFonts w:ascii="Times New Roman" w:hAnsi="Times New Roman"/>
                <w:b w:val="0"/>
                <w:bCs/>
                <w:sz w:val="20"/>
              </w:rPr>
            </w:pPr>
          </w:p>
        </w:tc>
        <w:tc>
          <w:tcPr>
            <w:tcW w:w="1067" w:type="dxa"/>
            <w:vMerge/>
          </w:tcPr>
          <w:p w:rsidR="0048332A" w:rsidRDefault="0048332A">
            <w:pPr>
              <w:pStyle w:val="TAH"/>
              <w:snapToGrid w:val="0"/>
              <w:rPr>
                <w:rFonts w:ascii="Times New Roman" w:hAnsi="Times New Roman"/>
                <w:b w:val="0"/>
                <w:bCs/>
                <w:sz w:val="20"/>
              </w:rPr>
            </w:pPr>
          </w:p>
        </w:tc>
        <w:tc>
          <w:tcPr>
            <w:tcW w:w="1349" w:type="dxa"/>
            <w:shd w:val="clear" w:color="auto" w:fill="FFFFFF"/>
          </w:tcPr>
          <w:p w:rsidR="0048332A" w:rsidRDefault="008337A7">
            <w:pPr>
              <w:pStyle w:val="TAH"/>
              <w:snapToGrid w:val="0"/>
              <w:rPr>
                <w:rFonts w:ascii="Times New Roman" w:hAnsi="Times New Roman"/>
                <w:b w:val="0"/>
                <w:bCs/>
                <w:sz w:val="20"/>
              </w:rPr>
            </w:pPr>
            <w:r>
              <w:rPr>
                <w:rFonts w:ascii="Times New Roman" w:hAnsi="Times New Roman"/>
                <w:b w:val="0"/>
                <w:bCs/>
                <w:sz w:val="20"/>
              </w:rPr>
              <w:t>Horizontal</w:t>
            </w:r>
          </w:p>
          <w:p w:rsidR="0048332A" w:rsidRDefault="008337A7">
            <w:pPr>
              <w:pStyle w:val="TAH"/>
              <w:snapToGrid w:val="0"/>
              <w:rPr>
                <w:rFonts w:ascii="Times New Roman" w:hAnsi="Times New Roman"/>
                <w:b w:val="0"/>
                <w:bCs/>
                <w:sz w:val="20"/>
              </w:rPr>
            </w:pPr>
            <w:r>
              <w:rPr>
                <w:rFonts w:ascii="Times New Roman" w:hAnsi="Times New Roman"/>
                <w:b w:val="0"/>
                <w:bCs/>
                <w:sz w:val="20"/>
              </w:rPr>
              <w:t>[m]</w:t>
            </w:r>
          </w:p>
        </w:tc>
        <w:tc>
          <w:tcPr>
            <w:tcW w:w="1012" w:type="dxa"/>
            <w:shd w:val="clear" w:color="auto" w:fill="FFFFFF"/>
          </w:tcPr>
          <w:p w:rsidR="0048332A" w:rsidRDefault="008337A7">
            <w:pPr>
              <w:pStyle w:val="TAH"/>
              <w:snapToGrid w:val="0"/>
              <w:rPr>
                <w:rFonts w:ascii="Times New Roman" w:hAnsi="Times New Roman"/>
                <w:b w:val="0"/>
                <w:bCs/>
                <w:sz w:val="20"/>
              </w:rPr>
            </w:pPr>
            <w:r>
              <w:rPr>
                <w:rFonts w:ascii="Times New Roman" w:hAnsi="Times New Roman"/>
                <w:b w:val="0"/>
                <w:bCs/>
                <w:sz w:val="20"/>
              </w:rPr>
              <w:t>Vertical</w:t>
            </w:r>
          </w:p>
          <w:p w:rsidR="0048332A" w:rsidRDefault="008337A7">
            <w:pPr>
              <w:pStyle w:val="TAH"/>
              <w:snapToGrid w:val="0"/>
              <w:rPr>
                <w:rFonts w:ascii="Times New Roman" w:hAnsi="Times New Roman"/>
                <w:b w:val="0"/>
                <w:bCs/>
                <w:sz w:val="20"/>
              </w:rPr>
            </w:pPr>
            <w:r>
              <w:rPr>
                <w:rFonts w:ascii="Times New Roman" w:hAnsi="Times New Roman"/>
                <w:b w:val="0"/>
                <w:bCs/>
                <w:sz w:val="20"/>
              </w:rPr>
              <w:t>[m]</w:t>
            </w:r>
          </w:p>
        </w:tc>
        <w:tc>
          <w:tcPr>
            <w:tcW w:w="1349" w:type="dxa"/>
            <w:shd w:val="clear" w:color="auto" w:fill="FFFFFF"/>
          </w:tcPr>
          <w:p w:rsidR="0048332A" w:rsidRDefault="008337A7">
            <w:pPr>
              <w:pStyle w:val="TAH"/>
              <w:snapToGrid w:val="0"/>
              <w:rPr>
                <w:rFonts w:ascii="Times New Roman" w:hAnsi="Times New Roman"/>
                <w:b w:val="0"/>
                <w:bCs/>
                <w:sz w:val="20"/>
              </w:rPr>
            </w:pPr>
            <w:r>
              <w:rPr>
                <w:rFonts w:ascii="Times New Roman" w:hAnsi="Times New Roman"/>
                <w:b w:val="0"/>
                <w:bCs/>
                <w:sz w:val="20"/>
              </w:rPr>
              <w:t>Horizontal</w:t>
            </w:r>
          </w:p>
          <w:p w:rsidR="0048332A" w:rsidRDefault="008337A7">
            <w:pPr>
              <w:pStyle w:val="TAH"/>
              <w:snapToGrid w:val="0"/>
              <w:rPr>
                <w:rFonts w:ascii="Times New Roman" w:hAnsi="Times New Roman"/>
                <w:b w:val="0"/>
                <w:bCs/>
                <w:sz w:val="20"/>
              </w:rPr>
            </w:pPr>
            <w:r>
              <w:rPr>
                <w:rFonts w:ascii="Times New Roman" w:hAnsi="Times New Roman"/>
                <w:b w:val="0"/>
                <w:bCs/>
                <w:sz w:val="20"/>
              </w:rPr>
              <w:t>[m/s]</w:t>
            </w:r>
          </w:p>
        </w:tc>
        <w:tc>
          <w:tcPr>
            <w:tcW w:w="1350" w:type="dxa"/>
            <w:shd w:val="clear" w:color="auto" w:fill="FFFFFF"/>
          </w:tcPr>
          <w:p w:rsidR="0048332A" w:rsidRDefault="008337A7">
            <w:pPr>
              <w:pStyle w:val="TAH"/>
              <w:snapToGrid w:val="0"/>
              <w:rPr>
                <w:rFonts w:ascii="Times New Roman" w:hAnsi="Times New Roman"/>
                <w:b w:val="0"/>
                <w:bCs/>
                <w:sz w:val="20"/>
              </w:rPr>
            </w:pPr>
            <w:r>
              <w:rPr>
                <w:rFonts w:ascii="Times New Roman" w:hAnsi="Times New Roman"/>
                <w:b w:val="0"/>
                <w:bCs/>
                <w:sz w:val="20"/>
              </w:rPr>
              <w:t>Vertical</w:t>
            </w:r>
          </w:p>
          <w:p w:rsidR="0048332A" w:rsidRDefault="008337A7">
            <w:pPr>
              <w:pStyle w:val="TAH"/>
              <w:snapToGrid w:val="0"/>
              <w:rPr>
                <w:rFonts w:ascii="Times New Roman" w:hAnsi="Times New Roman"/>
                <w:b w:val="0"/>
                <w:bCs/>
                <w:sz w:val="20"/>
              </w:rPr>
            </w:pPr>
            <w:r>
              <w:rPr>
                <w:rFonts w:ascii="Times New Roman" w:hAnsi="Times New Roman"/>
                <w:b w:val="0"/>
                <w:bCs/>
                <w:sz w:val="20"/>
              </w:rPr>
              <w:t>[m/s]</w:t>
            </w:r>
          </w:p>
        </w:tc>
        <w:tc>
          <w:tcPr>
            <w:tcW w:w="1011" w:type="dxa"/>
            <w:vMerge/>
            <w:shd w:val="clear" w:color="auto" w:fill="DAEEF3"/>
          </w:tcPr>
          <w:p w:rsidR="0048332A" w:rsidRDefault="0048332A">
            <w:pPr>
              <w:pStyle w:val="TAH"/>
              <w:snapToGrid w:val="0"/>
              <w:rPr>
                <w:rFonts w:ascii="Times New Roman" w:hAnsi="Times New Roman"/>
                <w:b w:val="0"/>
                <w:bCs/>
                <w:sz w:val="20"/>
              </w:rPr>
            </w:pPr>
          </w:p>
        </w:tc>
        <w:tc>
          <w:tcPr>
            <w:tcW w:w="842" w:type="dxa"/>
            <w:vMerge/>
            <w:shd w:val="clear" w:color="auto" w:fill="DAEEF3"/>
          </w:tcPr>
          <w:p w:rsidR="0048332A" w:rsidRDefault="0048332A">
            <w:pPr>
              <w:pStyle w:val="TAH"/>
              <w:snapToGrid w:val="0"/>
              <w:rPr>
                <w:rFonts w:ascii="Times New Roman" w:hAnsi="Times New Roman"/>
                <w:b w:val="0"/>
                <w:bCs/>
                <w:sz w:val="20"/>
              </w:rPr>
            </w:pPr>
          </w:p>
        </w:tc>
      </w:tr>
      <w:tr w:rsidR="0048332A">
        <w:trPr>
          <w:trHeight w:val="234"/>
        </w:trPr>
        <w:tc>
          <w:tcPr>
            <w:tcW w:w="1126" w:type="dxa"/>
            <w:vMerge w:val="restart"/>
            <w:shd w:val="clear" w:color="auto" w:fill="auto"/>
          </w:tcPr>
          <w:p w:rsidR="0048332A" w:rsidRDefault="008337A7">
            <w:pPr>
              <w:snapToGrid w:val="0"/>
              <w:jc w:val="center"/>
              <w:rPr>
                <w:bCs/>
                <w:color w:val="0C0C0C"/>
                <w:sz w:val="20"/>
                <w:szCs w:val="20"/>
              </w:rPr>
            </w:pPr>
            <w:r>
              <w:rPr>
                <w:rFonts w:hint="eastAsia"/>
                <w:bCs/>
                <w:color w:val="0C0C0C"/>
                <w:sz w:val="20"/>
                <w:szCs w:val="20"/>
              </w:rPr>
              <w:t>UAV, human, vehicle,</w:t>
            </w:r>
          </w:p>
          <w:p w:rsidR="0048332A" w:rsidRDefault="008337A7">
            <w:pPr>
              <w:snapToGrid w:val="0"/>
              <w:jc w:val="center"/>
              <w:rPr>
                <w:bCs/>
                <w:color w:val="0C0C0C"/>
                <w:sz w:val="20"/>
                <w:szCs w:val="20"/>
              </w:rPr>
            </w:pPr>
            <w:r>
              <w:rPr>
                <w:rFonts w:hint="eastAsia"/>
                <w:bCs/>
                <w:color w:val="0C0C0C"/>
                <w:sz w:val="20"/>
                <w:szCs w:val="20"/>
              </w:rPr>
              <w:t>AGV</w:t>
            </w:r>
          </w:p>
        </w:tc>
        <w:tc>
          <w:tcPr>
            <w:tcW w:w="1067" w:type="dxa"/>
          </w:tcPr>
          <w:p w:rsidR="0048332A" w:rsidRDefault="008337A7">
            <w:pPr>
              <w:snapToGrid w:val="0"/>
              <w:jc w:val="center"/>
              <w:rPr>
                <w:bCs/>
                <w:color w:val="0C0C0C"/>
                <w:sz w:val="20"/>
                <w:szCs w:val="20"/>
              </w:rPr>
            </w:pPr>
            <w:r>
              <w:rPr>
                <w:bCs/>
                <w:color w:val="0C0C0C"/>
                <w:sz w:val="20"/>
                <w:szCs w:val="20"/>
              </w:rPr>
              <w:t>1</w:t>
            </w:r>
          </w:p>
        </w:tc>
        <w:tc>
          <w:tcPr>
            <w:tcW w:w="1349" w:type="dxa"/>
            <w:shd w:val="clear" w:color="auto" w:fill="FFFFFF"/>
          </w:tcPr>
          <w:p w:rsidR="0048332A" w:rsidRDefault="008337A7">
            <w:pPr>
              <w:snapToGrid w:val="0"/>
              <w:jc w:val="center"/>
              <w:rPr>
                <w:bCs/>
                <w:color w:val="0C0C0C"/>
                <w:sz w:val="20"/>
                <w:szCs w:val="20"/>
              </w:rPr>
            </w:pPr>
            <w:r>
              <w:rPr>
                <w:bCs/>
                <w:color w:val="0C0C0C"/>
                <w:sz w:val="20"/>
                <w:szCs w:val="20"/>
              </w:rPr>
              <w:t>10</w:t>
            </w:r>
          </w:p>
        </w:tc>
        <w:tc>
          <w:tcPr>
            <w:tcW w:w="1012" w:type="dxa"/>
            <w:shd w:val="clear" w:color="auto" w:fill="FFFFFF"/>
          </w:tcPr>
          <w:p w:rsidR="0048332A" w:rsidRDefault="008337A7">
            <w:pPr>
              <w:snapToGrid w:val="0"/>
              <w:jc w:val="center"/>
              <w:rPr>
                <w:bCs/>
                <w:color w:val="0C0C0C"/>
                <w:sz w:val="20"/>
                <w:szCs w:val="20"/>
              </w:rPr>
            </w:pPr>
            <w:r>
              <w:rPr>
                <w:bCs/>
                <w:color w:val="0C0C0C"/>
                <w:sz w:val="20"/>
                <w:szCs w:val="20"/>
              </w:rPr>
              <w:t>10</w:t>
            </w:r>
          </w:p>
        </w:tc>
        <w:tc>
          <w:tcPr>
            <w:tcW w:w="1349" w:type="dxa"/>
            <w:shd w:val="clear" w:color="auto" w:fill="FFFFFF"/>
          </w:tcPr>
          <w:p w:rsidR="0048332A" w:rsidRDefault="008337A7">
            <w:pPr>
              <w:snapToGrid w:val="0"/>
              <w:jc w:val="center"/>
              <w:rPr>
                <w:bCs/>
                <w:color w:val="0C0C0C"/>
                <w:sz w:val="20"/>
                <w:szCs w:val="20"/>
              </w:rPr>
            </w:pPr>
            <w:r>
              <w:rPr>
                <w:bCs/>
                <w:color w:val="0C0C0C"/>
                <w:sz w:val="20"/>
                <w:szCs w:val="20"/>
              </w:rPr>
              <w:t>N/A</w:t>
            </w:r>
          </w:p>
        </w:tc>
        <w:tc>
          <w:tcPr>
            <w:tcW w:w="1350" w:type="dxa"/>
            <w:shd w:val="clear" w:color="auto" w:fill="FFFFFF"/>
          </w:tcPr>
          <w:p w:rsidR="0048332A" w:rsidRDefault="008337A7">
            <w:pPr>
              <w:snapToGrid w:val="0"/>
              <w:jc w:val="center"/>
              <w:rPr>
                <w:bCs/>
                <w:color w:val="0C0C0C"/>
                <w:sz w:val="20"/>
                <w:szCs w:val="20"/>
              </w:rPr>
            </w:pPr>
            <w:r>
              <w:rPr>
                <w:bCs/>
                <w:color w:val="0C0C0C"/>
                <w:sz w:val="20"/>
                <w:szCs w:val="20"/>
              </w:rPr>
              <w:t>N/A</w:t>
            </w:r>
          </w:p>
        </w:tc>
        <w:tc>
          <w:tcPr>
            <w:tcW w:w="1011" w:type="dxa"/>
            <w:shd w:val="clear" w:color="auto" w:fill="FFFFFF"/>
          </w:tcPr>
          <w:p w:rsidR="0048332A" w:rsidRDefault="008337A7">
            <w:pPr>
              <w:snapToGrid w:val="0"/>
              <w:jc w:val="center"/>
              <w:rPr>
                <w:bCs/>
                <w:color w:val="0C0C0C"/>
                <w:sz w:val="20"/>
                <w:szCs w:val="20"/>
              </w:rPr>
            </w:pPr>
            <w:r>
              <w:rPr>
                <w:bCs/>
                <w:sz w:val="20"/>
                <w:szCs w:val="20"/>
              </w:rPr>
              <w:t>5</w:t>
            </w:r>
          </w:p>
        </w:tc>
        <w:tc>
          <w:tcPr>
            <w:tcW w:w="842" w:type="dxa"/>
            <w:shd w:val="clear" w:color="auto" w:fill="FFFFFF"/>
          </w:tcPr>
          <w:p w:rsidR="0048332A" w:rsidRDefault="008337A7">
            <w:pPr>
              <w:snapToGrid w:val="0"/>
              <w:jc w:val="center"/>
              <w:rPr>
                <w:bCs/>
                <w:color w:val="0C0C0C"/>
                <w:sz w:val="20"/>
                <w:szCs w:val="20"/>
              </w:rPr>
            </w:pPr>
            <w:r>
              <w:rPr>
                <w:bCs/>
                <w:sz w:val="20"/>
                <w:szCs w:val="20"/>
              </w:rPr>
              <w:t>2</w:t>
            </w:r>
          </w:p>
        </w:tc>
      </w:tr>
      <w:tr w:rsidR="0048332A">
        <w:trPr>
          <w:trHeight w:val="234"/>
        </w:trPr>
        <w:tc>
          <w:tcPr>
            <w:tcW w:w="1126" w:type="dxa"/>
            <w:vMerge/>
            <w:shd w:val="clear" w:color="auto" w:fill="auto"/>
          </w:tcPr>
          <w:p w:rsidR="0048332A" w:rsidRDefault="0048332A">
            <w:pPr>
              <w:snapToGrid w:val="0"/>
              <w:jc w:val="center"/>
              <w:rPr>
                <w:color w:val="0C0C0C"/>
                <w:sz w:val="20"/>
                <w:szCs w:val="20"/>
              </w:rPr>
            </w:pPr>
          </w:p>
        </w:tc>
        <w:tc>
          <w:tcPr>
            <w:tcW w:w="1067" w:type="dxa"/>
          </w:tcPr>
          <w:p w:rsidR="0048332A" w:rsidRDefault="008337A7">
            <w:pPr>
              <w:snapToGrid w:val="0"/>
              <w:jc w:val="center"/>
              <w:rPr>
                <w:color w:val="0C0C0C"/>
                <w:sz w:val="20"/>
                <w:szCs w:val="20"/>
              </w:rPr>
            </w:pPr>
            <w:r>
              <w:rPr>
                <w:color w:val="0C0C0C"/>
                <w:sz w:val="20"/>
                <w:szCs w:val="20"/>
              </w:rPr>
              <w:t>2</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2</w:t>
            </w:r>
          </w:p>
        </w:tc>
        <w:tc>
          <w:tcPr>
            <w:tcW w:w="1012" w:type="dxa"/>
            <w:shd w:val="clear" w:color="auto" w:fill="FFFFFF"/>
          </w:tcPr>
          <w:p w:rsidR="0048332A" w:rsidRDefault="008337A7">
            <w:pPr>
              <w:snapToGrid w:val="0"/>
              <w:jc w:val="center"/>
              <w:rPr>
                <w:color w:val="0C0C0C"/>
                <w:sz w:val="20"/>
                <w:szCs w:val="20"/>
              </w:rPr>
            </w:pPr>
            <w:r>
              <w:rPr>
                <w:color w:val="0C0C0C"/>
                <w:sz w:val="20"/>
                <w:szCs w:val="20"/>
              </w:rPr>
              <w:t>5</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1</w:t>
            </w:r>
          </w:p>
        </w:tc>
        <w:tc>
          <w:tcPr>
            <w:tcW w:w="1350" w:type="dxa"/>
            <w:shd w:val="clear" w:color="auto" w:fill="FFFFFF"/>
          </w:tcPr>
          <w:p w:rsidR="0048332A" w:rsidRDefault="008337A7">
            <w:pPr>
              <w:snapToGrid w:val="0"/>
              <w:jc w:val="center"/>
              <w:rPr>
                <w:color w:val="0C0C0C"/>
                <w:sz w:val="20"/>
                <w:szCs w:val="20"/>
              </w:rPr>
            </w:pPr>
            <w:r>
              <w:rPr>
                <w:color w:val="0C0C0C"/>
                <w:sz w:val="20"/>
                <w:szCs w:val="20"/>
              </w:rPr>
              <w:t>N/A</w:t>
            </w:r>
          </w:p>
        </w:tc>
        <w:tc>
          <w:tcPr>
            <w:tcW w:w="1011" w:type="dxa"/>
            <w:shd w:val="clear" w:color="auto" w:fill="FFFFFF"/>
          </w:tcPr>
          <w:p w:rsidR="0048332A" w:rsidRDefault="008337A7">
            <w:pPr>
              <w:snapToGrid w:val="0"/>
              <w:jc w:val="center"/>
              <w:rPr>
                <w:color w:val="0C0C0C"/>
                <w:sz w:val="20"/>
                <w:szCs w:val="20"/>
              </w:rPr>
            </w:pPr>
            <w:r>
              <w:rPr>
                <w:color w:val="0C0C0C"/>
                <w:sz w:val="20"/>
                <w:szCs w:val="20"/>
              </w:rPr>
              <w:t>2</w:t>
            </w:r>
          </w:p>
        </w:tc>
        <w:tc>
          <w:tcPr>
            <w:tcW w:w="842" w:type="dxa"/>
            <w:shd w:val="clear" w:color="auto" w:fill="FFFFFF"/>
          </w:tcPr>
          <w:p w:rsidR="0048332A" w:rsidRDefault="008337A7">
            <w:pPr>
              <w:snapToGrid w:val="0"/>
              <w:jc w:val="center"/>
              <w:rPr>
                <w:color w:val="0C0C0C"/>
                <w:sz w:val="20"/>
                <w:szCs w:val="20"/>
              </w:rPr>
            </w:pPr>
            <w:r>
              <w:rPr>
                <w:color w:val="0C0C0C"/>
                <w:sz w:val="20"/>
                <w:szCs w:val="20"/>
              </w:rPr>
              <w:t>5</w:t>
            </w:r>
          </w:p>
        </w:tc>
      </w:tr>
      <w:tr w:rsidR="0048332A">
        <w:trPr>
          <w:trHeight w:val="444"/>
        </w:trPr>
        <w:tc>
          <w:tcPr>
            <w:tcW w:w="1126" w:type="dxa"/>
            <w:vMerge/>
            <w:shd w:val="clear" w:color="auto" w:fill="auto"/>
          </w:tcPr>
          <w:p w:rsidR="0048332A" w:rsidRDefault="0048332A">
            <w:pPr>
              <w:snapToGrid w:val="0"/>
              <w:jc w:val="center"/>
              <w:rPr>
                <w:color w:val="0C0C0C"/>
                <w:sz w:val="20"/>
                <w:szCs w:val="20"/>
              </w:rPr>
            </w:pPr>
          </w:p>
        </w:tc>
        <w:tc>
          <w:tcPr>
            <w:tcW w:w="1067" w:type="dxa"/>
          </w:tcPr>
          <w:p w:rsidR="0048332A" w:rsidRDefault="008337A7">
            <w:pPr>
              <w:snapToGrid w:val="0"/>
              <w:jc w:val="center"/>
              <w:rPr>
                <w:color w:val="0C0C0C"/>
                <w:sz w:val="20"/>
                <w:szCs w:val="20"/>
              </w:rPr>
            </w:pPr>
            <w:r>
              <w:rPr>
                <w:color w:val="0C0C0C"/>
                <w:sz w:val="20"/>
                <w:szCs w:val="20"/>
              </w:rPr>
              <w:t>3</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1</w:t>
            </w:r>
          </w:p>
        </w:tc>
        <w:tc>
          <w:tcPr>
            <w:tcW w:w="1012" w:type="dxa"/>
            <w:shd w:val="clear" w:color="auto" w:fill="FFFFFF"/>
          </w:tcPr>
          <w:p w:rsidR="0048332A" w:rsidRDefault="008337A7">
            <w:pPr>
              <w:snapToGrid w:val="0"/>
              <w:jc w:val="center"/>
              <w:rPr>
                <w:color w:val="0C0C0C"/>
                <w:sz w:val="20"/>
                <w:szCs w:val="20"/>
              </w:rPr>
            </w:pPr>
            <w:r>
              <w:rPr>
                <w:color w:val="0C0C0C"/>
                <w:sz w:val="20"/>
                <w:szCs w:val="20"/>
              </w:rPr>
              <w:t>1</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1</w:t>
            </w:r>
          </w:p>
        </w:tc>
        <w:tc>
          <w:tcPr>
            <w:tcW w:w="1350" w:type="dxa"/>
            <w:shd w:val="clear" w:color="auto" w:fill="FFFFFF"/>
          </w:tcPr>
          <w:p w:rsidR="0048332A" w:rsidRDefault="008337A7">
            <w:pPr>
              <w:snapToGrid w:val="0"/>
              <w:jc w:val="center"/>
              <w:rPr>
                <w:color w:val="0C0C0C"/>
                <w:sz w:val="20"/>
                <w:szCs w:val="20"/>
              </w:rPr>
            </w:pPr>
            <w:r>
              <w:rPr>
                <w:color w:val="0C0C0C"/>
                <w:sz w:val="20"/>
                <w:szCs w:val="20"/>
              </w:rPr>
              <w:t>1</w:t>
            </w:r>
          </w:p>
        </w:tc>
        <w:tc>
          <w:tcPr>
            <w:tcW w:w="1011" w:type="dxa"/>
            <w:shd w:val="clear" w:color="auto" w:fill="FFFFFF"/>
          </w:tcPr>
          <w:p w:rsidR="0048332A" w:rsidRDefault="008337A7">
            <w:pPr>
              <w:snapToGrid w:val="0"/>
              <w:jc w:val="center"/>
              <w:rPr>
                <w:color w:val="0C0C0C"/>
                <w:sz w:val="20"/>
                <w:szCs w:val="20"/>
              </w:rPr>
            </w:pPr>
            <w:r>
              <w:rPr>
                <w:color w:val="0C0C0C"/>
                <w:sz w:val="20"/>
                <w:szCs w:val="20"/>
              </w:rPr>
              <w:t>2</w:t>
            </w:r>
          </w:p>
        </w:tc>
        <w:tc>
          <w:tcPr>
            <w:tcW w:w="842" w:type="dxa"/>
            <w:shd w:val="clear" w:color="auto" w:fill="FFFFFF"/>
          </w:tcPr>
          <w:p w:rsidR="0048332A" w:rsidRDefault="008337A7">
            <w:pPr>
              <w:snapToGrid w:val="0"/>
              <w:jc w:val="center"/>
              <w:rPr>
                <w:color w:val="0C0C0C"/>
                <w:sz w:val="20"/>
                <w:szCs w:val="20"/>
              </w:rPr>
            </w:pPr>
            <w:r>
              <w:rPr>
                <w:color w:val="0C0C0C"/>
                <w:sz w:val="20"/>
                <w:szCs w:val="20"/>
              </w:rPr>
              <w:t>2</w:t>
            </w:r>
          </w:p>
        </w:tc>
      </w:tr>
      <w:tr w:rsidR="0048332A">
        <w:trPr>
          <w:trHeight w:val="242"/>
        </w:trPr>
        <w:tc>
          <w:tcPr>
            <w:tcW w:w="1126" w:type="dxa"/>
            <w:vMerge w:val="restart"/>
            <w:shd w:val="clear" w:color="auto" w:fill="auto"/>
          </w:tcPr>
          <w:p w:rsidR="0048332A" w:rsidRDefault="008337A7">
            <w:pPr>
              <w:snapToGrid w:val="0"/>
              <w:jc w:val="center"/>
              <w:rPr>
                <w:color w:val="0C0C0C"/>
                <w:sz w:val="20"/>
                <w:szCs w:val="20"/>
              </w:rPr>
            </w:pPr>
            <w:r>
              <w:rPr>
                <w:rFonts w:hint="eastAsia"/>
                <w:color w:val="0C0C0C"/>
                <w:sz w:val="20"/>
                <w:szCs w:val="20"/>
              </w:rPr>
              <w:t>Ship detection</w:t>
            </w:r>
          </w:p>
        </w:tc>
        <w:tc>
          <w:tcPr>
            <w:tcW w:w="1067" w:type="dxa"/>
          </w:tcPr>
          <w:p w:rsidR="0048332A" w:rsidRDefault="008337A7">
            <w:pPr>
              <w:snapToGrid w:val="0"/>
              <w:jc w:val="center"/>
              <w:rPr>
                <w:color w:val="0C0C0C"/>
                <w:sz w:val="20"/>
                <w:szCs w:val="20"/>
              </w:rPr>
            </w:pPr>
            <w:r>
              <w:rPr>
                <w:rFonts w:hint="eastAsia"/>
                <w:color w:val="0C0C0C"/>
                <w:sz w:val="20"/>
                <w:szCs w:val="20"/>
              </w:rPr>
              <w:t>1</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w:t>
            </w:r>
            <w:r>
              <w:rPr>
                <w:rFonts w:hint="eastAsia"/>
                <w:color w:val="0C0C0C"/>
                <w:sz w:val="20"/>
                <w:szCs w:val="20"/>
              </w:rPr>
              <w:t>100</w:t>
            </w:r>
          </w:p>
        </w:tc>
        <w:tc>
          <w:tcPr>
            <w:tcW w:w="1012"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50" w:type="dxa"/>
            <w:shd w:val="clear" w:color="auto" w:fill="FFFFFF"/>
          </w:tcPr>
          <w:p w:rsidR="0048332A" w:rsidRDefault="008337A7">
            <w:pPr>
              <w:snapToGrid w:val="0"/>
              <w:jc w:val="center"/>
              <w:rPr>
                <w:color w:val="0C0C0C"/>
                <w:sz w:val="20"/>
                <w:szCs w:val="20"/>
              </w:rPr>
            </w:pPr>
            <w:r>
              <w:rPr>
                <w:color w:val="0C0C0C"/>
                <w:sz w:val="20"/>
                <w:szCs w:val="20"/>
              </w:rPr>
              <w:t>N/A</w:t>
            </w:r>
          </w:p>
        </w:tc>
        <w:tc>
          <w:tcPr>
            <w:tcW w:w="1011" w:type="dxa"/>
            <w:shd w:val="clear" w:color="auto" w:fill="FFFFFF"/>
          </w:tcPr>
          <w:p w:rsidR="0048332A" w:rsidRDefault="008337A7">
            <w:pPr>
              <w:snapToGrid w:val="0"/>
              <w:jc w:val="center"/>
              <w:rPr>
                <w:color w:val="0C0C0C"/>
                <w:sz w:val="20"/>
                <w:szCs w:val="20"/>
              </w:rPr>
            </w:pPr>
            <w:r>
              <w:rPr>
                <w:color w:val="0C0C0C"/>
                <w:sz w:val="20"/>
                <w:szCs w:val="20"/>
              </w:rPr>
              <w:t>5</w:t>
            </w:r>
          </w:p>
        </w:tc>
        <w:tc>
          <w:tcPr>
            <w:tcW w:w="842" w:type="dxa"/>
            <w:shd w:val="clear" w:color="auto" w:fill="FFFFFF"/>
          </w:tcPr>
          <w:p w:rsidR="0048332A" w:rsidRDefault="008337A7">
            <w:pPr>
              <w:snapToGrid w:val="0"/>
              <w:jc w:val="center"/>
              <w:rPr>
                <w:color w:val="0C0C0C"/>
                <w:sz w:val="20"/>
                <w:szCs w:val="20"/>
              </w:rPr>
            </w:pPr>
            <w:r>
              <w:rPr>
                <w:color w:val="0C0C0C"/>
                <w:sz w:val="20"/>
                <w:szCs w:val="20"/>
              </w:rPr>
              <w:t>5</w:t>
            </w:r>
          </w:p>
        </w:tc>
      </w:tr>
      <w:tr w:rsidR="0048332A">
        <w:trPr>
          <w:trHeight w:val="242"/>
        </w:trPr>
        <w:tc>
          <w:tcPr>
            <w:tcW w:w="1126" w:type="dxa"/>
            <w:vMerge/>
            <w:shd w:val="clear" w:color="auto" w:fill="auto"/>
          </w:tcPr>
          <w:p w:rsidR="0048332A" w:rsidRDefault="0048332A">
            <w:pPr>
              <w:snapToGrid w:val="0"/>
              <w:jc w:val="center"/>
              <w:rPr>
                <w:color w:val="0C0C0C"/>
                <w:sz w:val="20"/>
                <w:szCs w:val="20"/>
              </w:rPr>
            </w:pPr>
          </w:p>
        </w:tc>
        <w:tc>
          <w:tcPr>
            <w:tcW w:w="1067" w:type="dxa"/>
          </w:tcPr>
          <w:p w:rsidR="0048332A" w:rsidRDefault="008337A7">
            <w:pPr>
              <w:snapToGrid w:val="0"/>
              <w:jc w:val="center"/>
              <w:rPr>
                <w:color w:val="0C0C0C"/>
                <w:sz w:val="20"/>
                <w:szCs w:val="20"/>
              </w:rPr>
            </w:pPr>
            <w:r>
              <w:rPr>
                <w:rFonts w:hint="eastAsia"/>
                <w:color w:val="0C0C0C"/>
                <w:sz w:val="20"/>
                <w:szCs w:val="20"/>
              </w:rPr>
              <w:t>2</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w:t>
            </w:r>
            <w:r>
              <w:rPr>
                <w:rFonts w:hint="eastAsia"/>
                <w:color w:val="0C0C0C"/>
                <w:sz w:val="20"/>
                <w:szCs w:val="20"/>
              </w:rPr>
              <w:t>10</w:t>
            </w:r>
          </w:p>
        </w:tc>
        <w:tc>
          <w:tcPr>
            <w:tcW w:w="1012"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50" w:type="dxa"/>
            <w:shd w:val="clear" w:color="auto" w:fill="FFFFFF"/>
          </w:tcPr>
          <w:p w:rsidR="0048332A" w:rsidRDefault="008337A7">
            <w:pPr>
              <w:snapToGrid w:val="0"/>
              <w:jc w:val="center"/>
              <w:rPr>
                <w:color w:val="0C0C0C"/>
                <w:sz w:val="20"/>
                <w:szCs w:val="20"/>
              </w:rPr>
            </w:pPr>
            <w:r>
              <w:rPr>
                <w:color w:val="0C0C0C"/>
                <w:sz w:val="20"/>
                <w:szCs w:val="20"/>
              </w:rPr>
              <w:t>N/A</w:t>
            </w:r>
          </w:p>
        </w:tc>
        <w:tc>
          <w:tcPr>
            <w:tcW w:w="1011" w:type="dxa"/>
            <w:shd w:val="clear" w:color="auto" w:fill="FFFFFF"/>
          </w:tcPr>
          <w:p w:rsidR="0048332A" w:rsidRDefault="008337A7">
            <w:pPr>
              <w:snapToGrid w:val="0"/>
              <w:jc w:val="center"/>
              <w:rPr>
                <w:color w:val="0C0C0C"/>
                <w:sz w:val="20"/>
                <w:szCs w:val="20"/>
              </w:rPr>
            </w:pPr>
            <w:r>
              <w:rPr>
                <w:color w:val="0C0C0C"/>
                <w:sz w:val="20"/>
                <w:szCs w:val="20"/>
              </w:rPr>
              <w:t>5</w:t>
            </w:r>
          </w:p>
        </w:tc>
        <w:tc>
          <w:tcPr>
            <w:tcW w:w="842" w:type="dxa"/>
            <w:shd w:val="clear" w:color="auto" w:fill="FFFFFF"/>
          </w:tcPr>
          <w:p w:rsidR="0048332A" w:rsidRDefault="008337A7">
            <w:pPr>
              <w:snapToGrid w:val="0"/>
              <w:jc w:val="center"/>
              <w:rPr>
                <w:color w:val="0C0C0C"/>
                <w:sz w:val="20"/>
                <w:szCs w:val="20"/>
              </w:rPr>
            </w:pPr>
            <w:r>
              <w:rPr>
                <w:color w:val="0C0C0C"/>
                <w:sz w:val="20"/>
                <w:szCs w:val="20"/>
              </w:rPr>
              <w:t>5</w:t>
            </w:r>
          </w:p>
        </w:tc>
      </w:tr>
      <w:tr w:rsidR="0048332A">
        <w:trPr>
          <w:trHeight w:val="242"/>
        </w:trPr>
        <w:tc>
          <w:tcPr>
            <w:tcW w:w="1126" w:type="dxa"/>
            <w:shd w:val="clear" w:color="auto" w:fill="auto"/>
          </w:tcPr>
          <w:p w:rsidR="0048332A" w:rsidRDefault="008337A7">
            <w:pPr>
              <w:snapToGrid w:val="0"/>
              <w:jc w:val="center"/>
              <w:rPr>
                <w:color w:val="0C0C0C"/>
                <w:sz w:val="20"/>
                <w:szCs w:val="20"/>
              </w:rPr>
            </w:pPr>
            <w:r>
              <w:rPr>
                <w:rFonts w:hint="eastAsia"/>
                <w:color w:val="0C0C0C"/>
                <w:sz w:val="20"/>
                <w:szCs w:val="20"/>
              </w:rPr>
              <w:t xml:space="preserve">Infrastructure collapse monitoring </w:t>
            </w:r>
          </w:p>
        </w:tc>
        <w:tc>
          <w:tcPr>
            <w:tcW w:w="1067" w:type="dxa"/>
          </w:tcPr>
          <w:p w:rsidR="0048332A" w:rsidRDefault="008337A7">
            <w:pPr>
              <w:snapToGrid w:val="0"/>
              <w:jc w:val="center"/>
              <w:rPr>
                <w:color w:val="0C0C0C"/>
                <w:sz w:val="20"/>
                <w:szCs w:val="20"/>
              </w:rPr>
            </w:pPr>
            <w:r>
              <w:rPr>
                <w:rFonts w:hint="eastAsia"/>
                <w:color w:val="0C0C0C"/>
                <w:sz w:val="20"/>
                <w:szCs w:val="20"/>
              </w:rPr>
              <w:t>1</w:t>
            </w:r>
          </w:p>
        </w:tc>
        <w:tc>
          <w:tcPr>
            <w:tcW w:w="1349" w:type="dxa"/>
            <w:shd w:val="clear" w:color="auto" w:fill="FFFFFF"/>
          </w:tcPr>
          <w:p w:rsidR="0048332A" w:rsidRDefault="008337A7">
            <w:pPr>
              <w:snapToGrid w:val="0"/>
              <w:jc w:val="center"/>
              <w:rPr>
                <w:color w:val="0C0C0C"/>
                <w:sz w:val="20"/>
                <w:szCs w:val="20"/>
              </w:rPr>
            </w:pPr>
            <w:r>
              <w:rPr>
                <w:rFonts w:hint="eastAsia"/>
                <w:color w:val="0C0C0C"/>
                <w:sz w:val="20"/>
                <w:szCs w:val="20"/>
              </w:rPr>
              <w:t>4</w:t>
            </w:r>
          </w:p>
        </w:tc>
        <w:tc>
          <w:tcPr>
            <w:tcW w:w="1012"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49" w:type="dxa"/>
            <w:shd w:val="clear" w:color="auto" w:fill="FFFFFF"/>
          </w:tcPr>
          <w:p w:rsidR="0048332A" w:rsidRDefault="008337A7">
            <w:pPr>
              <w:snapToGrid w:val="0"/>
              <w:jc w:val="center"/>
              <w:rPr>
                <w:color w:val="0C0C0C"/>
                <w:sz w:val="20"/>
                <w:szCs w:val="20"/>
              </w:rPr>
            </w:pPr>
            <w:r>
              <w:rPr>
                <w:color w:val="0C0C0C"/>
                <w:sz w:val="20"/>
                <w:szCs w:val="20"/>
              </w:rPr>
              <w:t>N/A</w:t>
            </w:r>
          </w:p>
        </w:tc>
        <w:tc>
          <w:tcPr>
            <w:tcW w:w="1350" w:type="dxa"/>
            <w:shd w:val="clear" w:color="auto" w:fill="FFFFFF"/>
          </w:tcPr>
          <w:p w:rsidR="0048332A" w:rsidRDefault="008337A7">
            <w:pPr>
              <w:snapToGrid w:val="0"/>
              <w:jc w:val="center"/>
              <w:rPr>
                <w:color w:val="0C0C0C"/>
                <w:sz w:val="20"/>
                <w:szCs w:val="20"/>
              </w:rPr>
            </w:pPr>
            <w:r>
              <w:rPr>
                <w:color w:val="0C0C0C"/>
                <w:sz w:val="20"/>
                <w:szCs w:val="20"/>
              </w:rPr>
              <w:t>N/A</w:t>
            </w:r>
          </w:p>
        </w:tc>
        <w:tc>
          <w:tcPr>
            <w:tcW w:w="1011" w:type="dxa"/>
            <w:shd w:val="clear" w:color="auto" w:fill="FFFFFF"/>
          </w:tcPr>
          <w:p w:rsidR="0048332A" w:rsidRDefault="008337A7">
            <w:pPr>
              <w:snapToGrid w:val="0"/>
              <w:jc w:val="center"/>
              <w:rPr>
                <w:color w:val="0C0C0C"/>
                <w:sz w:val="20"/>
                <w:szCs w:val="20"/>
              </w:rPr>
            </w:pPr>
            <w:r>
              <w:rPr>
                <w:rFonts w:hint="eastAsia"/>
                <w:color w:val="0C0C0C"/>
                <w:sz w:val="20"/>
                <w:szCs w:val="20"/>
              </w:rPr>
              <w:t>1~2</w:t>
            </w:r>
          </w:p>
        </w:tc>
        <w:tc>
          <w:tcPr>
            <w:tcW w:w="842" w:type="dxa"/>
            <w:shd w:val="clear" w:color="auto" w:fill="FFFFFF"/>
          </w:tcPr>
          <w:p w:rsidR="0048332A" w:rsidRDefault="008337A7">
            <w:pPr>
              <w:snapToGrid w:val="0"/>
              <w:jc w:val="center"/>
              <w:rPr>
                <w:color w:val="0C0C0C"/>
                <w:sz w:val="20"/>
                <w:szCs w:val="20"/>
              </w:rPr>
            </w:pPr>
            <w:r>
              <w:rPr>
                <w:rFonts w:hint="eastAsia"/>
                <w:color w:val="0C0C0C"/>
                <w:sz w:val="20"/>
                <w:szCs w:val="20"/>
              </w:rPr>
              <w:t>1~2</w:t>
            </w:r>
          </w:p>
        </w:tc>
      </w:tr>
    </w:tbl>
    <w:p w:rsidR="0048332A" w:rsidRDefault="008337A7">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Conclusion</w:t>
      </w:r>
    </w:p>
    <w:p w:rsidR="0048332A" w:rsidRDefault="008337A7" w:rsidP="004C35CE">
      <w:pPr>
        <w:snapToGrid w:val="0"/>
        <w:spacing w:beforeLines="50" w:before="120" w:afterLines="50" w:after="120"/>
        <w:jc w:val="both"/>
        <w:rPr>
          <w:iCs/>
          <w:sz w:val="20"/>
          <w:szCs w:val="20"/>
        </w:rPr>
      </w:pPr>
      <w:r>
        <w:rPr>
          <w:iCs/>
          <w:sz w:val="20"/>
          <w:szCs w:val="20"/>
        </w:rPr>
        <w:t xml:space="preserve">In this contribution, we present our views of evaluation assumptions for 6GR air interface, and then </w:t>
      </w:r>
      <w:bookmarkStart w:id="16" w:name="_GoBack"/>
      <w:bookmarkEnd w:id="16"/>
      <w:r w:rsidR="004C35CE">
        <w:rPr>
          <w:iCs/>
          <w:sz w:val="20"/>
          <w:szCs w:val="20"/>
        </w:rPr>
        <w:t>our</w:t>
      </w:r>
      <w:r>
        <w:rPr>
          <w:iCs/>
          <w:sz w:val="20"/>
          <w:szCs w:val="20"/>
        </w:rPr>
        <w:t xml:space="preserve"> proposals</w:t>
      </w:r>
      <w:r w:rsidR="004C35CE">
        <w:rPr>
          <w:iCs/>
          <w:sz w:val="20"/>
          <w:szCs w:val="20"/>
        </w:rPr>
        <w:t xml:space="preserve"> and </w:t>
      </w:r>
      <w:r>
        <w:rPr>
          <w:iCs/>
          <w:sz w:val="20"/>
          <w:szCs w:val="20"/>
        </w:rPr>
        <w:t>observations can be found in the corresponding sections.</w:t>
      </w:r>
    </w:p>
    <w:p w:rsidR="0048332A" w:rsidRDefault="008337A7">
      <w:pPr>
        <w:numPr>
          <w:ilvl w:val="0"/>
          <w:numId w:val="1"/>
        </w:numPr>
        <w:tabs>
          <w:tab w:val="clear" w:pos="432"/>
        </w:tabs>
        <w:snapToGrid w:val="0"/>
        <w:spacing w:before="240" w:afterLines="50" w:after="120"/>
        <w:ind w:left="425" w:hanging="425"/>
        <w:jc w:val="both"/>
        <w:outlineLvl w:val="0"/>
        <w:rPr>
          <w:b/>
          <w:sz w:val="24"/>
        </w:rPr>
      </w:pPr>
      <w:r>
        <w:rPr>
          <w:b/>
          <w:sz w:val="24"/>
        </w:rPr>
        <w:t>References</w:t>
      </w:r>
    </w:p>
    <w:p w:rsidR="0048332A" w:rsidRDefault="008337A7">
      <w:pPr>
        <w:pStyle w:val="References"/>
        <w:spacing w:beforeLines="0" w:before="0" w:afterLines="0" w:after="0"/>
        <w:ind w:left="363" w:hanging="363"/>
        <w:rPr>
          <w:bCs/>
          <w:szCs w:val="20"/>
        </w:rPr>
      </w:pPr>
      <w:bookmarkStart w:id="17" w:name="_Ref205826862"/>
      <w:r>
        <w:rPr>
          <w:bCs/>
          <w:szCs w:val="20"/>
        </w:rPr>
        <w:t xml:space="preserve">RP-251881, </w:t>
      </w:r>
      <w:r>
        <w:rPr>
          <w:color w:val="000000"/>
        </w:rPr>
        <w:t>New SID: Study on 6G Radio</w:t>
      </w:r>
      <w:r>
        <w:rPr>
          <w:bCs/>
          <w:szCs w:val="20"/>
        </w:rPr>
        <w:t>, NTT DOCOMO (Moderator)</w:t>
      </w:r>
      <w:bookmarkEnd w:id="17"/>
    </w:p>
    <w:p w:rsidR="0048332A" w:rsidRDefault="008337A7">
      <w:pPr>
        <w:pStyle w:val="References"/>
        <w:spacing w:beforeLines="0" w:before="0" w:afterLines="0" w:after="0"/>
        <w:ind w:left="363" w:hanging="363"/>
        <w:rPr>
          <w:bCs/>
          <w:szCs w:val="20"/>
        </w:rPr>
      </w:pPr>
      <w:bookmarkStart w:id="18" w:name="_Ref205826874"/>
      <w:r>
        <w:rPr>
          <w:bCs/>
          <w:szCs w:val="20"/>
        </w:rPr>
        <w:t>RP-251873, TS 38.914 Study on 6G Scenarios and Requirements (Release 20), V0.1.0.</w:t>
      </w:r>
      <w:bookmarkEnd w:id="18"/>
      <w:r>
        <w:rPr>
          <w:bCs/>
          <w:szCs w:val="20"/>
        </w:rPr>
        <w:t xml:space="preserve"> </w:t>
      </w:r>
    </w:p>
    <w:p w:rsidR="0048332A" w:rsidRDefault="008337A7">
      <w:pPr>
        <w:pStyle w:val="References"/>
        <w:spacing w:beforeLines="0" w:before="0" w:afterLines="0" w:after="0"/>
        <w:ind w:left="363" w:hanging="363"/>
        <w:rPr>
          <w:bCs/>
          <w:szCs w:val="20"/>
        </w:rPr>
      </w:pPr>
      <w:bookmarkStart w:id="19" w:name="_Ref205826938"/>
      <w:r>
        <w:rPr>
          <w:bCs/>
          <w:szCs w:val="20"/>
        </w:rPr>
        <w:t>3GPP TR 38.802, Study on New Radio Access Technology Physical Layer Aspects (Release 14)</w:t>
      </w:r>
      <w:bookmarkEnd w:id="19"/>
    </w:p>
    <w:p w:rsidR="0048332A" w:rsidRDefault="008337A7">
      <w:pPr>
        <w:pStyle w:val="References"/>
        <w:spacing w:before="72" w:after="72"/>
        <w:rPr>
          <w:bCs/>
          <w:szCs w:val="20"/>
        </w:rPr>
      </w:pPr>
      <w:bookmarkStart w:id="20" w:name="_Ref205826948"/>
      <w:r>
        <w:rPr>
          <w:bCs/>
          <w:szCs w:val="20"/>
        </w:rPr>
        <w:t>3GPP TR 38.901 V19.0.0, Study on channel model for frequencies from 0.5 to 100 GHz</w:t>
      </w:r>
      <w:bookmarkEnd w:id="20"/>
    </w:p>
    <w:p w:rsidR="0048332A" w:rsidRDefault="008337A7">
      <w:pPr>
        <w:pStyle w:val="References"/>
        <w:spacing w:beforeLines="0" w:before="0" w:afterLines="0" w:after="0"/>
        <w:ind w:left="363" w:hanging="363"/>
        <w:rPr>
          <w:bCs/>
          <w:szCs w:val="20"/>
        </w:rPr>
      </w:pPr>
      <w:bookmarkStart w:id="21" w:name="_Ref205805153"/>
      <w:r>
        <w:rPr>
          <w:bCs/>
          <w:szCs w:val="20"/>
        </w:rPr>
        <w:t>3GPP TR 38.821, TSG RAN, Solutions for NR to support non-terrestrial networks (NTN), V16.1.0</w:t>
      </w:r>
      <w:bookmarkEnd w:id="21"/>
    </w:p>
    <w:p w:rsidR="0048332A" w:rsidRDefault="008337A7">
      <w:pPr>
        <w:pStyle w:val="References"/>
        <w:spacing w:beforeLines="0" w:before="0" w:afterLines="0" w:after="0"/>
        <w:ind w:left="363" w:hanging="363"/>
        <w:jc w:val="left"/>
        <w:rPr>
          <w:rFonts w:eastAsia="宋体"/>
          <w:bCs/>
          <w:szCs w:val="20"/>
        </w:rPr>
      </w:pPr>
      <w:bookmarkStart w:id="22" w:name="_Ref206059760"/>
      <w:r>
        <w:rPr>
          <w:rFonts w:eastAsia="宋体"/>
          <w:bCs/>
          <w:szCs w:val="20"/>
        </w:rPr>
        <w:t>China Telecom, Trial of RIS deployment at 3.5 GH, URL: http://www.chinatelecom.com.cn/news/xinyidaixinxitongxin/202504/t20250402_87145.html.</w:t>
      </w:r>
      <w:bookmarkEnd w:id="22"/>
    </w:p>
    <w:p w:rsidR="0048332A" w:rsidRDefault="008337A7">
      <w:pPr>
        <w:pStyle w:val="References"/>
        <w:spacing w:beforeLines="0" w:before="0" w:afterLines="0" w:after="0"/>
        <w:ind w:left="363" w:hanging="363"/>
        <w:rPr>
          <w:rFonts w:eastAsia="宋体"/>
          <w:bCs/>
          <w:szCs w:val="20"/>
        </w:rPr>
      </w:pPr>
      <w:bookmarkStart w:id="23" w:name="_Ref206059267"/>
      <w:r>
        <w:rPr>
          <w:rFonts w:eastAsia="宋体"/>
          <w:bCs/>
          <w:szCs w:val="20"/>
        </w:rPr>
        <w:t>Cao, X., Deng, C., Yin, Y. et al. Two-bit dual-polarized reconfigurable intelligent surface with low power consumption for 6G near-field communication.</w:t>
      </w:r>
      <w:r w:rsidR="003577F8" w:rsidDel="003577F8">
        <w:rPr>
          <w:rFonts w:eastAsia="宋体"/>
          <w:bCs/>
          <w:szCs w:val="20"/>
        </w:rPr>
        <w:t xml:space="preserve"> </w:t>
      </w:r>
      <w:r>
        <w:rPr>
          <w:rFonts w:eastAsia="宋体"/>
          <w:bCs/>
          <w:szCs w:val="20"/>
        </w:rPr>
        <w:t xml:space="preserve">Front Inform Technol Electron </w:t>
      </w:r>
      <w:proofErr w:type="spellStart"/>
      <w:r w:rsidR="003577F8">
        <w:rPr>
          <w:rFonts w:eastAsia="宋体"/>
          <w:bCs/>
          <w:szCs w:val="20"/>
        </w:rPr>
        <w:t>Eng</w:t>
      </w:r>
      <w:proofErr w:type="spellEnd"/>
      <w:r w:rsidR="003577F8">
        <w:rPr>
          <w:rFonts w:eastAsia="宋体"/>
          <w:bCs/>
          <w:szCs w:val="20"/>
        </w:rPr>
        <w:t xml:space="preserve"> </w:t>
      </w:r>
      <w:r>
        <w:rPr>
          <w:rFonts w:eastAsia="宋体"/>
          <w:bCs/>
          <w:szCs w:val="20"/>
        </w:rPr>
        <w:t xml:space="preserve">25, 1695–1707 (2024). </w:t>
      </w:r>
      <w:hyperlink r:id="rId25" w:history="1">
        <w:r>
          <w:rPr>
            <w:rFonts w:eastAsia="宋体"/>
            <w:bCs/>
            <w:szCs w:val="20"/>
          </w:rPr>
          <w:t>https://doi.org/10.1631/FITEE.2400379</w:t>
        </w:r>
      </w:hyperlink>
      <w:bookmarkEnd w:id="23"/>
    </w:p>
    <w:p w:rsidR="0048332A" w:rsidRDefault="008337A7">
      <w:pPr>
        <w:pStyle w:val="References"/>
        <w:spacing w:beforeLines="0" w:before="0" w:afterLines="0" w:after="0"/>
        <w:ind w:left="363" w:hanging="363"/>
        <w:rPr>
          <w:rFonts w:eastAsia="宋体"/>
          <w:bCs/>
          <w:szCs w:val="20"/>
        </w:rPr>
      </w:pPr>
      <w:bookmarkStart w:id="24" w:name="_Ref206059268"/>
      <w:r>
        <w:rPr>
          <w:rFonts w:eastAsia="宋体"/>
          <w:bCs/>
          <w:szCs w:val="20"/>
        </w:rPr>
        <w:t xml:space="preserve">Y. Hao, C. Deng, X. Cao, Y. Yin and K. </w:t>
      </w:r>
      <w:proofErr w:type="spellStart"/>
      <w:r>
        <w:rPr>
          <w:rFonts w:eastAsia="宋体"/>
          <w:bCs/>
          <w:szCs w:val="20"/>
        </w:rPr>
        <w:t>Sarabandi</w:t>
      </w:r>
      <w:proofErr w:type="spellEnd"/>
      <w:r>
        <w:rPr>
          <w:rFonts w:eastAsia="宋体"/>
          <w:bCs/>
          <w:szCs w:val="20"/>
        </w:rPr>
        <w:t xml:space="preserve">, "A High Aperture Efficiency 1-bit Reconfigurable </w:t>
      </w:r>
      <w:proofErr w:type="spellStart"/>
      <w:r>
        <w:rPr>
          <w:rFonts w:eastAsia="宋体"/>
          <w:bCs/>
          <w:szCs w:val="20"/>
        </w:rPr>
        <w:t>Reflectarray</w:t>
      </w:r>
      <w:proofErr w:type="spellEnd"/>
      <w:r>
        <w:rPr>
          <w:rFonts w:eastAsia="宋体"/>
          <w:bCs/>
          <w:szCs w:val="20"/>
        </w:rPr>
        <w:t xml:space="preserve"> Antenna </w:t>
      </w:r>
      <w:proofErr w:type="gramStart"/>
      <w:r>
        <w:rPr>
          <w:rFonts w:eastAsia="宋体"/>
          <w:bCs/>
          <w:szCs w:val="20"/>
        </w:rPr>
        <w:t>With</w:t>
      </w:r>
      <w:proofErr w:type="gramEnd"/>
      <w:r>
        <w:rPr>
          <w:rFonts w:eastAsia="宋体"/>
          <w:bCs/>
          <w:szCs w:val="20"/>
        </w:rPr>
        <w:t xml:space="preserve"> Extremely Low Power Consumption," in IEEE Transactions on Antennas and Propagation, vol. 72, no. 1, pp. 1015-1020, Jan. 2024, </w:t>
      </w:r>
      <w:proofErr w:type="spellStart"/>
      <w:r>
        <w:rPr>
          <w:rFonts w:eastAsia="宋体"/>
          <w:bCs/>
          <w:szCs w:val="20"/>
        </w:rPr>
        <w:t>doi</w:t>
      </w:r>
      <w:proofErr w:type="spellEnd"/>
      <w:r>
        <w:rPr>
          <w:rFonts w:eastAsia="宋体"/>
          <w:bCs/>
          <w:szCs w:val="20"/>
        </w:rPr>
        <w:t xml:space="preserve">: 10.1109/TAP.2023.3310579. </w:t>
      </w:r>
      <w:bookmarkEnd w:id="24"/>
    </w:p>
    <w:p w:rsidR="0048332A" w:rsidRDefault="008337A7">
      <w:pPr>
        <w:pStyle w:val="References"/>
        <w:spacing w:beforeLines="0" w:before="0" w:afterLines="0" w:after="0"/>
        <w:ind w:left="363" w:hanging="363"/>
        <w:rPr>
          <w:bCs/>
          <w:szCs w:val="20"/>
        </w:rPr>
      </w:pPr>
      <w:bookmarkStart w:id="25" w:name="_Ref205924678"/>
      <w:r>
        <w:rPr>
          <w:rFonts w:eastAsia="宋体" w:hint="eastAsia"/>
          <w:bCs/>
          <w:szCs w:val="20"/>
        </w:rPr>
        <w:t>3GPP TR 38.864, Study on network energy savings for NR, V18.1.0.</w:t>
      </w:r>
      <w:bookmarkEnd w:id="25"/>
      <w:r>
        <w:rPr>
          <w:rFonts w:eastAsia="宋体" w:hint="eastAsia"/>
          <w:bCs/>
          <w:szCs w:val="20"/>
        </w:rPr>
        <w:t xml:space="preserve"> </w:t>
      </w:r>
    </w:p>
    <w:p w:rsidR="0048332A" w:rsidRDefault="008337A7">
      <w:pPr>
        <w:pStyle w:val="References"/>
        <w:spacing w:beforeLines="0" w:before="0" w:afterLines="0" w:after="0"/>
        <w:ind w:left="363" w:hanging="363"/>
        <w:rPr>
          <w:bCs/>
          <w:szCs w:val="20"/>
        </w:rPr>
      </w:pPr>
      <w:bookmarkStart w:id="26" w:name="_Ref205924912"/>
      <w:r>
        <w:rPr>
          <w:bCs/>
          <w:szCs w:val="20"/>
        </w:rPr>
        <w:t>3GPP TR 22.837, Feasibility Study on Integrated Sensing and Communication (Release 19)</w:t>
      </w:r>
      <w:bookmarkEnd w:id="26"/>
    </w:p>
    <w:p w:rsidR="0048332A" w:rsidRDefault="008337A7">
      <w:pPr>
        <w:pStyle w:val="References"/>
        <w:spacing w:beforeLines="0" w:before="0" w:afterLines="0" w:after="0"/>
        <w:ind w:left="363" w:hanging="363"/>
        <w:rPr>
          <w:bCs/>
          <w:szCs w:val="20"/>
        </w:rPr>
      </w:pPr>
      <w:bookmarkStart w:id="27" w:name="_Ref205924922"/>
      <w:r>
        <w:rPr>
          <w:bCs/>
          <w:szCs w:val="20"/>
        </w:rPr>
        <w:lastRenderedPageBreak/>
        <w:t xml:space="preserve">Maritime Surveillance Market Size &amp; Share Analysis - Growth Trends &amp; Forecasts (2025 - 2030) Source: </w:t>
      </w:r>
      <w:hyperlink r:id="rId26" w:history="1">
        <w:r>
          <w:t>https://www.mordorintelligence.com/industry-reports/maritime-surveillance-market</w:t>
        </w:r>
      </w:hyperlink>
      <w:bookmarkEnd w:id="27"/>
    </w:p>
    <w:p w:rsidR="0048332A" w:rsidRDefault="008337A7">
      <w:pPr>
        <w:pStyle w:val="References"/>
        <w:spacing w:beforeLines="0" w:before="0" w:afterLines="0" w:after="0"/>
        <w:ind w:left="363" w:hanging="363"/>
        <w:rPr>
          <w:bCs/>
          <w:szCs w:val="20"/>
        </w:rPr>
      </w:pPr>
      <w:bookmarkStart w:id="28" w:name="_Ref205924942"/>
      <w:r>
        <w:rPr>
          <w:bCs/>
          <w:szCs w:val="20"/>
        </w:rPr>
        <w:t>Liu, Fan, et al. "Integrated sensing and communications: Toward dual-functional wireless networks for 6G and beyond." IEEE journal on selected areas in communications 40.6 (2022): 1728-1767.</w:t>
      </w:r>
      <w:bookmarkEnd w:id="28"/>
    </w:p>
    <w:p w:rsidR="0048332A" w:rsidRDefault="008337A7">
      <w:pPr>
        <w:pStyle w:val="References"/>
        <w:spacing w:beforeLines="0" w:before="0" w:afterLines="0" w:after="0"/>
        <w:ind w:left="363" w:hanging="363"/>
        <w:rPr>
          <w:bCs/>
          <w:szCs w:val="20"/>
        </w:rPr>
      </w:pPr>
      <w:bookmarkStart w:id="29" w:name="_Ref205924974"/>
      <w:r>
        <w:rPr>
          <w:bCs/>
          <w:szCs w:val="20"/>
        </w:rPr>
        <w:t>Disaster Recovery as a Service (</w:t>
      </w:r>
      <w:proofErr w:type="spellStart"/>
      <w:r>
        <w:rPr>
          <w:bCs/>
          <w:szCs w:val="20"/>
        </w:rPr>
        <w:t>DRaaS</w:t>
      </w:r>
      <w:proofErr w:type="spellEnd"/>
      <w:r>
        <w:rPr>
          <w:bCs/>
          <w:szCs w:val="20"/>
        </w:rPr>
        <w:t>) Market by Service Type (Backup &amp; Restore, Real-Time Replication, Data Protection), Deployment Mode (Public Cloud, Private Cloud), Organization Size, Vertical and Region - Global Forecast to 2028, https://www.marketsandmarkets.com/Market-Reports/recovery-as-a-service-market-962.html</w:t>
      </w:r>
      <w:bookmarkEnd w:id="29"/>
    </w:p>
    <w:p w:rsidR="0048332A" w:rsidRDefault="0048332A">
      <w:pPr>
        <w:pStyle w:val="NoSpacing1"/>
        <w:snapToGrid w:val="0"/>
        <w:rPr>
          <w:sz w:val="20"/>
          <w:szCs w:val="20"/>
        </w:rPr>
      </w:pPr>
    </w:p>
    <w:p w:rsidR="0048332A" w:rsidRDefault="0048332A">
      <w:pPr>
        <w:pStyle w:val="NoSpacing1"/>
        <w:snapToGrid w:val="0"/>
        <w:rPr>
          <w:sz w:val="20"/>
          <w:szCs w:val="20"/>
        </w:rPr>
      </w:pPr>
    </w:p>
    <w:sectPr w:rsidR="0048332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
    <w:altName w:val="Segoe Print"/>
    <w:charset w:val="00"/>
    <w:family w:val="roman"/>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Arial Unicode MS">
    <w:altName w:val="微软雅黑"/>
    <w:panose1 w:val="020B0604020202020204"/>
    <w:charset w:val="86"/>
    <w:family w:val="swiss"/>
    <w:pitch w:val="default"/>
    <w:sig w:usb0="00000000" w:usb1="00000000"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EC141C4"/>
    <w:multiLevelType w:val="singleLevel"/>
    <w:tmpl w:val="9EC141C4"/>
    <w:lvl w:ilvl="0">
      <w:start w:val="1"/>
      <w:numFmt w:val="bullet"/>
      <w:lvlText w:val=""/>
      <w:lvlJc w:val="left"/>
      <w:pPr>
        <w:ind w:left="420" w:hanging="420"/>
      </w:pPr>
      <w:rPr>
        <w:rFonts w:ascii="Wingdings" w:hAnsi="Wingdings" w:hint="default"/>
        <w:sz w:val="18"/>
        <w:szCs w:val="18"/>
      </w:rPr>
    </w:lvl>
  </w:abstractNum>
  <w:abstractNum w:abstractNumId="1" w15:restartNumberingAfterBreak="0">
    <w:nsid w:val="A5430156"/>
    <w:multiLevelType w:val="singleLevel"/>
    <w:tmpl w:val="A5430156"/>
    <w:lvl w:ilvl="0">
      <w:start w:val="1"/>
      <w:numFmt w:val="bullet"/>
      <w:lvlText w:val=""/>
      <w:lvlJc w:val="left"/>
      <w:pPr>
        <w:ind w:left="420" w:hanging="420"/>
      </w:pPr>
      <w:rPr>
        <w:rFonts w:ascii="Wingdings" w:hAnsi="Wingdings" w:hint="default"/>
      </w:rPr>
    </w:lvl>
  </w:abstractNum>
  <w:abstractNum w:abstractNumId="2"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AEE2D45C"/>
    <w:multiLevelType w:val="multilevel"/>
    <w:tmpl w:val="AEE2D45C"/>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00476024"/>
    <w:multiLevelType w:val="multilevel"/>
    <w:tmpl w:val="00476024"/>
    <w:lvl w:ilvl="0">
      <w:start w:val="1"/>
      <w:numFmt w:val="bullet"/>
      <w:lvlText w:val="▪"/>
      <w:lvlJc w:val="left"/>
      <w:pPr>
        <w:ind w:left="420" w:hanging="420"/>
      </w:pPr>
      <w:rPr>
        <w:rFonts w:ascii="Arial" w:hAnsi="Arial" w:cs="Aria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5E71825"/>
    <w:multiLevelType w:val="multilevel"/>
    <w:tmpl w:val="35E718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3D466EA7"/>
    <w:multiLevelType w:val="multilevel"/>
    <w:tmpl w:val="3D466EA7"/>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4"/>
      </w:rPr>
    </w:lvl>
    <w:lvl w:ilvl="1">
      <w:start w:val="1"/>
      <w:numFmt w:val="decimal"/>
      <w:lvlText w:val="%1.%2"/>
      <w:lvlJc w:val="left"/>
      <w:pPr>
        <w:tabs>
          <w:tab w:val="left" w:pos="576"/>
        </w:tabs>
        <w:ind w:left="576" w:hanging="576"/>
      </w:pPr>
      <w:rPr>
        <w:rFonts w:hint="eastAsia"/>
        <w:b/>
        <w:i w:val="0"/>
        <w:sz w:val="24"/>
      </w:rPr>
    </w:lvl>
    <w:lvl w:ilvl="2">
      <w:start w:val="1"/>
      <w:numFmt w:val="decimal"/>
      <w:pStyle w:val="Heading3"/>
      <w:lvlText w:val="%1.%2.%3"/>
      <w:lvlJc w:val="left"/>
      <w:pPr>
        <w:tabs>
          <w:tab w:val="left" w:pos="720"/>
        </w:tabs>
        <w:ind w:left="720" w:hanging="720"/>
      </w:pPr>
      <w:rPr>
        <w:rFonts w:hint="eastAsia"/>
        <w:b/>
        <w:i w:val="0"/>
        <w:sz w:val="22"/>
        <w:szCs w:val="22"/>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4" w15:restartNumberingAfterBreak="0">
    <w:nsid w:val="6A174D55"/>
    <w:multiLevelType w:val="multilevel"/>
    <w:tmpl w:val="6A174D55"/>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2211A9B"/>
    <w:multiLevelType w:val="multilevel"/>
    <w:tmpl w:val="72211A9B"/>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6"/>
  </w:num>
  <w:num w:numId="4">
    <w:abstractNumId w:val="7"/>
  </w:num>
  <w:num w:numId="5">
    <w:abstractNumId w:val="16"/>
  </w:num>
  <w:num w:numId="6">
    <w:abstractNumId w:val="10"/>
  </w:num>
  <w:num w:numId="7">
    <w:abstractNumId w:val="4"/>
  </w:num>
  <w:num w:numId="8">
    <w:abstractNumId w:val="2"/>
  </w:num>
  <w:num w:numId="9">
    <w:abstractNumId w:val="14"/>
  </w:num>
  <w:num w:numId="10">
    <w:abstractNumId w:val="8"/>
  </w:num>
  <w:num w:numId="11">
    <w:abstractNumId w:val="15"/>
  </w:num>
  <w:num w:numId="12">
    <w:abstractNumId w:val="1"/>
  </w:num>
  <w:num w:numId="13">
    <w:abstractNumId w:val="0"/>
  </w:num>
  <w:num w:numId="14">
    <w:abstractNumId w:val="3"/>
  </w:num>
  <w:num w:numId="15">
    <w:abstractNumId w:val="9"/>
  </w:num>
  <w:num w:numId="16">
    <w:abstractNumId w:val="5"/>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0E3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56AA"/>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2C0"/>
    <w:rsid w:val="000F25D2"/>
    <w:rsid w:val="000F2D11"/>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1167"/>
    <w:rsid w:val="001218EA"/>
    <w:rsid w:val="00121D68"/>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8FE"/>
    <w:rsid w:val="00183A86"/>
    <w:rsid w:val="00183CD7"/>
    <w:rsid w:val="0018448C"/>
    <w:rsid w:val="00184663"/>
    <w:rsid w:val="00184774"/>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51D8"/>
    <w:rsid w:val="002B547E"/>
    <w:rsid w:val="002B59DB"/>
    <w:rsid w:val="002B5A01"/>
    <w:rsid w:val="002B5A58"/>
    <w:rsid w:val="002B5ABC"/>
    <w:rsid w:val="002B5D8E"/>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6C4"/>
    <w:rsid w:val="004C07BB"/>
    <w:rsid w:val="004C07FE"/>
    <w:rsid w:val="004C0E96"/>
    <w:rsid w:val="004C0F5B"/>
    <w:rsid w:val="004C14CB"/>
    <w:rsid w:val="004C1948"/>
    <w:rsid w:val="004C1A0C"/>
    <w:rsid w:val="004C1ADC"/>
    <w:rsid w:val="004C2091"/>
    <w:rsid w:val="004C24D1"/>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0FC8"/>
    <w:rsid w:val="004F1A94"/>
    <w:rsid w:val="004F1AB0"/>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69B"/>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87A"/>
    <w:rsid w:val="0066493B"/>
    <w:rsid w:val="006657FC"/>
    <w:rsid w:val="00665D3F"/>
    <w:rsid w:val="00665DF1"/>
    <w:rsid w:val="00665F97"/>
    <w:rsid w:val="00666699"/>
    <w:rsid w:val="00666F8C"/>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2F6"/>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4090"/>
    <w:rsid w:val="00784138"/>
    <w:rsid w:val="00784A94"/>
    <w:rsid w:val="00784F23"/>
    <w:rsid w:val="00785293"/>
    <w:rsid w:val="00785476"/>
    <w:rsid w:val="00785F2B"/>
    <w:rsid w:val="00786289"/>
    <w:rsid w:val="007866CD"/>
    <w:rsid w:val="007867FA"/>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142"/>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131"/>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1986"/>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E1"/>
    <w:rsid w:val="00A82F38"/>
    <w:rsid w:val="00A82F3A"/>
    <w:rsid w:val="00A8302C"/>
    <w:rsid w:val="00A8326C"/>
    <w:rsid w:val="00A83626"/>
    <w:rsid w:val="00A83949"/>
    <w:rsid w:val="00A83B2A"/>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02"/>
    <w:rsid w:val="00AB202E"/>
    <w:rsid w:val="00AB2349"/>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58F"/>
    <w:rsid w:val="00B55B3A"/>
    <w:rsid w:val="00B55E2E"/>
    <w:rsid w:val="00B56071"/>
    <w:rsid w:val="00B56533"/>
    <w:rsid w:val="00B5683F"/>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3FE9"/>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DB4"/>
    <w:rsid w:val="00F460FD"/>
    <w:rsid w:val="00F461C9"/>
    <w:rsid w:val="00F465BB"/>
    <w:rsid w:val="00F466B3"/>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28F"/>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6CC2"/>
    <w:rsid w:val="00FB7C81"/>
    <w:rsid w:val="00FC01E5"/>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93432"/>
    <w:rsid w:val="018F1416"/>
    <w:rsid w:val="01AB094A"/>
    <w:rsid w:val="01B306E4"/>
    <w:rsid w:val="01D27A5F"/>
    <w:rsid w:val="0201766A"/>
    <w:rsid w:val="02151F95"/>
    <w:rsid w:val="022E47B0"/>
    <w:rsid w:val="02554999"/>
    <w:rsid w:val="02574326"/>
    <w:rsid w:val="025B75F9"/>
    <w:rsid w:val="02767EF6"/>
    <w:rsid w:val="02B34E07"/>
    <w:rsid w:val="030F5EB8"/>
    <w:rsid w:val="031B3D3A"/>
    <w:rsid w:val="03300F14"/>
    <w:rsid w:val="03382F46"/>
    <w:rsid w:val="033A53C5"/>
    <w:rsid w:val="037C375A"/>
    <w:rsid w:val="037C5BED"/>
    <w:rsid w:val="03871F70"/>
    <w:rsid w:val="03915486"/>
    <w:rsid w:val="03AE2B70"/>
    <w:rsid w:val="03B3264D"/>
    <w:rsid w:val="03C200B6"/>
    <w:rsid w:val="03D81924"/>
    <w:rsid w:val="03E9024B"/>
    <w:rsid w:val="03E925DE"/>
    <w:rsid w:val="03F638B5"/>
    <w:rsid w:val="042B188D"/>
    <w:rsid w:val="043A302C"/>
    <w:rsid w:val="043F479D"/>
    <w:rsid w:val="046C35A2"/>
    <w:rsid w:val="0492209E"/>
    <w:rsid w:val="04B345F7"/>
    <w:rsid w:val="04BE7DD0"/>
    <w:rsid w:val="04EB3650"/>
    <w:rsid w:val="050D0125"/>
    <w:rsid w:val="054445DB"/>
    <w:rsid w:val="055A06C9"/>
    <w:rsid w:val="05702DF2"/>
    <w:rsid w:val="05733EFD"/>
    <w:rsid w:val="058D2653"/>
    <w:rsid w:val="05A11E98"/>
    <w:rsid w:val="05EA3121"/>
    <w:rsid w:val="05EB37CA"/>
    <w:rsid w:val="05EF39F0"/>
    <w:rsid w:val="060D79A1"/>
    <w:rsid w:val="06257099"/>
    <w:rsid w:val="067751BD"/>
    <w:rsid w:val="06A75CA3"/>
    <w:rsid w:val="06CF7159"/>
    <w:rsid w:val="06D32D7E"/>
    <w:rsid w:val="06E21138"/>
    <w:rsid w:val="06E64C63"/>
    <w:rsid w:val="06F24EF2"/>
    <w:rsid w:val="07470651"/>
    <w:rsid w:val="07AE7932"/>
    <w:rsid w:val="07B814E5"/>
    <w:rsid w:val="07D013A8"/>
    <w:rsid w:val="07D648D8"/>
    <w:rsid w:val="07FD44E9"/>
    <w:rsid w:val="0805407D"/>
    <w:rsid w:val="08127126"/>
    <w:rsid w:val="08132E8B"/>
    <w:rsid w:val="081D706E"/>
    <w:rsid w:val="085D519A"/>
    <w:rsid w:val="086D1BC3"/>
    <w:rsid w:val="08706B4B"/>
    <w:rsid w:val="088B4CC5"/>
    <w:rsid w:val="088B79C8"/>
    <w:rsid w:val="08CE61CB"/>
    <w:rsid w:val="08D2064E"/>
    <w:rsid w:val="08F44BC5"/>
    <w:rsid w:val="08FA203B"/>
    <w:rsid w:val="094B14E7"/>
    <w:rsid w:val="095256C8"/>
    <w:rsid w:val="096F6526"/>
    <w:rsid w:val="09AB29D4"/>
    <w:rsid w:val="0A32370E"/>
    <w:rsid w:val="0A585A2D"/>
    <w:rsid w:val="0A594E3E"/>
    <w:rsid w:val="0A5C768D"/>
    <w:rsid w:val="0A6F50FD"/>
    <w:rsid w:val="0A934843"/>
    <w:rsid w:val="0A9E4A8D"/>
    <w:rsid w:val="0A9F2012"/>
    <w:rsid w:val="0AAA6D9C"/>
    <w:rsid w:val="0AB53627"/>
    <w:rsid w:val="0ACE1EAB"/>
    <w:rsid w:val="0AE65CB9"/>
    <w:rsid w:val="0AE96B11"/>
    <w:rsid w:val="0AFD09EB"/>
    <w:rsid w:val="0B07538C"/>
    <w:rsid w:val="0B1A274D"/>
    <w:rsid w:val="0B254ED4"/>
    <w:rsid w:val="0B2E5D46"/>
    <w:rsid w:val="0B3A4E5B"/>
    <w:rsid w:val="0B5823AA"/>
    <w:rsid w:val="0B827907"/>
    <w:rsid w:val="0B8C4C1A"/>
    <w:rsid w:val="0B9549DB"/>
    <w:rsid w:val="0B9D13EC"/>
    <w:rsid w:val="0BA07E46"/>
    <w:rsid w:val="0BC032D6"/>
    <w:rsid w:val="0BC10793"/>
    <w:rsid w:val="0BDB1E35"/>
    <w:rsid w:val="0BDB6546"/>
    <w:rsid w:val="0C195365"/>
    <w:rsid w:val="0C6F4E58"/>
    <w:rsid w:val="0CFB1DB9"/>
    <w:rsid w:val="0D220294"/>
    <w:rsid w:val="0D3A4A42"/>
    <w:rsid w:val="0D5773D6"/>
    <w:rsid w:val="0D594DB6"/>
    <w:rsid w:val="0D632B1E"/>
    <w:rsid w:val="0D7D7848"/>
    <w:rsid w:val="0D8E173E"/>
    <w:rsid w:val="0DA10A04"/>
    <w:rsid w:val="0DF13B47"/>
    <w:rsid w:val="0E0A5187"/>
    <w:rsid w:val="0E332166"/>
    <w:rsid w:val="0E3917FF"/>
    <w:rsid w:val="0E613656"/>
    <w:rsid w:val="0E72787E"/>
    <w:rsid w:val="0E9F5739"/>
    <w:rsid w:val="0EC3008E"/>
    <w:rsid w:val="0EDB339F"/>
    <w:rsid w:val="0F125211"/>
    <w:rsid w:val="0F152A9D"/>
    <w:rsid w:val="0F1E7B0D"/>
    <w:rsid w:val="0F62047F"/>
    <w:rsid w:val="0F6B41F3"/>
    <w:rsid w:val="0F736B49"/>
    <w:rsid w:val="0F7A2097"/>
    <w:rsid w:val="0F7F1100"/>
    <w:rsid w:val="0F816B6A"/>
    <w:rsid w:val="0F82210C"/>
    <w:rsid w:val="0F950757"/>
    <w:rsid w:val="0FA36B70"/>
    <w:rsid w:val="0FA37671"/>
    <w:rsid w:val="0FAC2C6D"/>
    <w:rsid w:val="0FB46F83"/>
    <w:rsid w:val="0FB70395"/>
    <w:rsid w:val="0FBA4112"/>
    <w:rsid w:val="0FBB10D0"/>
    <w:rsid w:val="0FDA6A10"/>
    <w:rsid w:val="10040C3F"/>
    <w:rsid w:val="100B59FA"/>
    <w:rsid w:val="10110CDB"/>
    <w:rsid w:val="10206D1E"/>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228310E"/>
    <w:rsid w:val="12325B1D"/>
    <w:rsid w:val="1244691E"/>
    <w:rsid w:val="1251591B"/>
    <w:rsid w:val="126B461E"/>
    <w:rsid w:val="127D72F2"/>
    <w:rsid w:val="12A908D3"/>
    <w:rsid w:val="12AA7F02"/>
    <w:rsid w:val="12DE33CA"/>
    <w:rsid w:val="12EB5BE6"/>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416178"/>
    <w:rsid w:val="1561603B"/>
    <w:rsid w:val="158F48E5"/>
    <w:rsid w:val="15C94A90"/>
    <w:rsid w:val="15D74588"/>
    <w:rsid w:val="15EB4378"/>
    <w:rsid w:val="160B185E"/>
    <w:rsid w:val="1628036C"/>
    <w:rsid w:val="162D1072"/>
    <w:rsid w:val="16435A3F"/>
    <w:rsid w:val="16704155"/>
    <w:rsid w:val="16796F0F"/>
    <w:rsid w:val="1688556A"/>
    <w:rsid w:val="16A00FDF"/>
    <w:rsid w:val="16A32AAC"/>
    <w:rsid w:val="16AF0615"/>
    <w:rsid w:val="16BD0B49"/>
    <w:rsid w:val="16D50CFC"/>
    <w:rsid w:val="16E33AB3"/>
    <w:rsid w:val="16EB76EF"/>
    <w:rsid w:val="170E575F"/>
    <w:rsid w:val="171B0546"/>
    <w:rsid w:val="17304A49"/>
    <w:rsid w:val="173353C2"/>
    <w:rsid w:val="17874ED3"/>
    <w:rsid w:val="17886A2C"/>
    <w:rsid w:val="178F26E7"/>
    <w:rsid w:val="17966843"/>
    <w:rsid w:val="17A9660F"/>
    <w:rsid w:val="17D80F4C"/>
    <w:rsid w:val="17E14521"/>
    <w:rsid w:val="18117661"/>
    <w:rsid w:val="183D5D27"/>
    <w:rsid w:val="18523ADE"/>
    <w:rsid w:val="1866694B"/>
    <w:rsid w:val="186C1ACE"/>
    <w:rsid w:val="188C6C7D"/>
    <w:rsid w:val="18960812"/>
    <w:rsid w:val="189C7EF6"/>
    <w:rsid w:val="18B04B4D"/>
    <w:rsid w:val="18E87E12"/>
    <w:rsid w:val="18F5052C"/>
    <w:rsid w:val="191D14D9"/>
    <w:rsid w:val="19693EEF"/>
    <w:rsid w:val="196B5F41"/>
    <w:rsid w:val="19822941"/>
    <w:rsid w:val="19846DB7"/>
    <w:rsid w:val="19D1732F"/>
    <w:rsid w:val="1A200A74"/>
    <w:rsid w:val="1A3055B8"/>
    <w:rsid w:val="1A4F05C1"/>
    <w:rsid w:val="1A5655AF"/>
    <w:rsid w:val="1A6B5CD7"/>
    <w:rsid w:val="1A9B675D"/>
    <w:rsid w:val="1ADE3E70"/>
    <w:rsid w:val="1AE42348"/>
    <w:rsid w:val="1AF2383D"/>
    <w:rsid w:val="1B157C1A"/>
    <w:rsid w:val="1B211C8A"/>
    <w:rsid w:val="1B325062"/>
    <w:rsid w:val="1B99173F"/>
    <w:rsid w:val="1B9E5782"/>
    <w:rsid w:val="1B9F2F5B"/>
    <w:rsid w:val="1BA31D38"/>
    <w:rsid w:val="1BB15A38"/>
    <w:rsid w:val="1BB32D92"/>
    <w:rsid w:val="1BCA4E13"/>
    <w:rsid w:val="1BE75134"/>
    <w:rsid w:val="1BEB39AC"/>
    <w:rsid w:val="1C3C5A93"/>
    <w:rsid w:val="1C4852DE"/>
    <w:rsid w:val="1C4D45E0"/>
    <w:rsid w:val="1CB701AA"/>
    <w:rsid w:val="1CCA0F66"/>
    <w:rsid w:val="1CDE446D"/>
    <w:rsid w:val="1CE20210"/>
    <w:rsid w:val="1D464FEE"/>
    <w:rsid w:val="1D644902"/>
    <w:rsid w:val="1D8C2BA2"/>
    <w:rsid w:val="1D905228"/>
    <w:rsid w:val="1DF24DA6"/>
    <w:rsid w:val="1DF43659"/>
    <w:rsid w:val="1DFC21EE"/>
    <w:rsid w:val="1E4473F8"/>
    <w:rsid w:val="1E50751B"/>
    <w:rsid w:val="1E612D39"/>
    <w:rsid w:val="1E6D1C74"/>
    <w:rsid w:val="1E736E4E"/>
    <w:rsid w:val="1E7E5EB1"/>
    <w:rsid w:val="1EA61B83"/>
    <w:rsid w:val="1EA82227"/>
    <w:rsid w:val="1EAD188D"/>
    <w:rsid w:val="1EB9396F"/>
    <w:rsid w:val="1EF23920"/>
    <w:rsid w:val="1F234826"/>
    <w:rsid w:val="1F5E0D38"/>
    <w:rsid w:val="1F5F4414"/>
    <w:rsid w:val="1F826970"/>
    <w:rsid w:val="1F972A67"/>
    <w:rsid w:val="1FA317AB"/>
    <w:rsid w:val="1FEE648E"/>
    <w:rsid w:val="1FF433BA"/>
    <w:rsid w:val="1FF9202F"/>
    <w:rsid w:val="20003026"/>
    <w:rsid w:val="200F3B23"/>
    <w:rsid w:val="201967D7"/>
    <w:rsid w:val="20374786"/>
    <w:rsid w:val="2039386F"/>
    <w:rsid w:val="20601C10"/>
    <w:rsid w:val="20A13861"/>
    <w:rsid w:val="20BB0C31"/>
    <w:rsid w:val="20CF37FC"/>
    <w:rsid w:val="20D717F3"/>
    <w:rsid w:val="20F12135"/>
    <w:rsid w:val="20F90AAC"/>
    <w:rsid w:val="212B616E"/>
    <w:rsid w:val="213121BA"/>
    <w:rsid w:val="214A2960"/>
    <w:rsid w:val="214A37E9"/>
    <w:rsid w:val="215302B9"/>
    <w:rsid w:val="218E4A09"/>
    <w:rsid w:val="218E6399"/>
    <w:rsid w:val="21DF3292"/>
    <w:rsid w:val="2229623B"/>
    <w:rsid w:val="224C2951"/>
    <w:rsid w:val="227A54E3"/>
    <w:rsid w:val="22BD3256"/>
    <w:rsid w:val="22D07449"/>
    <w:rsid w:val="230B248C"/>
    <w:rsid w:val="231E3ED2"/>
    <w:rsid w:val="23302D26"/>
    <w:rsid w:val="23537C14"/>
    <w:rsid w:val="23654938"/>
    <w:rsid w:val="23700EEA"/>
    <w:rsid w:val="238C42D2"/>
    <w:rsid w:val="2393048F"/>
    <w:rsid w:val="239E3C8F"/>
    <w:rsid w:val="23A06B4E"/>
    <w:rsid w:val="23A40CCF"/>
    <w:rsid w:val="24351B4F"/>
    <w:rsid w:val="243E1B36"/>
    <w:rsid w:val="24576A62"/>
    <w:rsid w:val="246E76BE"/>
    <w:rsid w:val="24762507"/>
    <w:rsid w:val="24863B93"/>
    <w:rsid w:val="24B346B5"/>
    <w:rsid w:val="24B606B7"/>
    <w:rsid w:val="24EC3BCA"/>
    <w:rsid w:val="24EF6448"/>
    <w:rsid w:val="24F71B8F"/>
    <w:rsid w:val="250C0B5D"/>
    <w:rsid w:val="25335BFF"/>
    <w:rsid w:val="253D4E51"/>
    <w:rsid w:val="25893EFE"/>
    <w:rsid w:val="25BE6749"/>
    <w:rsid w:val="25DE0185"/>
    <w:rsid w:val="25E04003"/>
    <w:rsid w:val="25EE6875"/>
    <w:rsid w:val="260C334C"/>
    <w:rsid w:val="26276BC7"/>
    <w:rsid w:val="263536AC"/>
    <w:rsid w:val="26412189"/>
    <w:rsid w:val="26566E1C"/>
    <w:rsid w:val="26A10A64"/>
    <w:rsid w:val="26A24282"/>
    <w:rsid w:val="26BB6790"/>
    <w:rsid w:val="26C84C3F"/>
    <w:rsid w:val="26CA39FA"/>
    <w:rsid w:val="26DB2072"/>
    <w:rsid w:val="271D238B"/>
    <w:rsid w:val="2737495D"/>
    <w:rsid w:val="2754493F"/>
    <w:rsid w:val="27862FAB"/>
    <w:rsid w:val="278F67DD"/>
    <w:rsid w:val="27B778B7"/>
    <w:rsid w:val="27C822A7"/>
    <w:rsid w:val="27CE4805"/>
    <w:rsid w:val="27D67367"/>
    <w:rsid w:val="27DC01C9"/>
    <w:rsid w:val="27EA6D62"/>
    <w:rsid w:val="28300784"/>
    <w:rsid w:val="283976CD"/>
    <w:rsid w:val="289E6725"/>
    <w:rsid w:val="29057EC1"/>
    <w:rsid w:val="292011C8"/>
    <w:rsid w:val="293757A5"/>
    <w:rsid w:val="293D0E03"/>
    <w:rsid w:val="293F5958"/>
    <w:rsid w:val="294A094A"/>
    <w:rsid w:val="29C52E87"/>
    <w:rsid w:val="29D9317B"/>
    <w:rsid w:val="29F116D0"/>
    <w:rsid w:val="2A0241CA"/>
    <w:rsid w:val="2A0777DB"/>
    <w:rsid w:val="2A1E7E82"/>
    <w:rsid w:val="2A7D5C08"/>
    <w:rsid w:val="2AA47786"/>
    <w:rsid w:val="2AAA19F3"/>
    <w:rsid w:val="2AAD65EE"/>
    <w:rsid w:val="2AC77380"/>
    <w:rsid w:val="2ADD6AFD"/>
    <w:rsid w:val="2ADE6550"/>
    <w:rsid w:val="2AFE0D9C"/>
    <w:rsid w:val="2B2E0309"/>
    <w:rsid w:val="2B422946"/>
    <w:rsid w:val="2B5B34DC"/>
    <w:rsid w:val="2B76579E"/>
    <w:rsid w:val="2B831E93"/>
    <w:rsid w:val="2BA57D96"/>
    <w:rsid w:val="2BAE29A1"/>
    <w:rsid w:val="2BB24F28"/>
    <w:rsid w:val="2BBE438D"/>
    <w:rsid w:val="2BE373EE"/>
    <w:rsid w:val="2C295EB9"/>
    <w:rsid w:val="2C4628DA"/>
    <w:rsid w:val="2C622710"/>
    <w:rsid w:val="2C642048"/>
    <w:rsid w:val="2C7A1A31"/>
    <w:rsid w:val="2C7C7D79"/>
    <w:rsid w:val="2C9466E2"/>
    <w:rsid w:val="2CAF6B04"/>
    <w:rsid w:val="2CB0279E"/>
    <w:rsid w:val="2CD12AE5"/>
    <w:rsid w:val="2D3A323B"/>
    <w:rsid w:val="2D4B55E5"/>
    <w:rsid w:val="2D53589F"/>
    <w:rsid w:val="2D7646A7"/>
    <w:rsid w:val="2DDC0104"/>
    <w:rsid w:val="2DE379BB"/>
    <w:rsid w:val="2E0177B9"/>
    <w:rsid w:val="2E034F95"/>
    <w:rsid w:val="2E1D2BF2"/>
    <w:rsid w:val="2E3B2A47"/>
    <w:rsid w:val="2E6003A4"/>
    <w:rsid w:val="2E69729D"/>
    <w:rsid w:val="2E8543E2"/>
    <w:rsid w:val="2E9B575E"/>
    <w:rsid w:val="2EB809B1"/>
    <w:rsid w:val="2EB81831"/>
    <w:rsid w:val="2ECF7A85"/>
    <w:rsid w:val="2F2B5ABF"/>
    <w:rsid w:val="2F2E604D"/>
    <w:rsid w:val="2F417886"/>
    <w:rsid w:val="2F882E85"/>
    <w:rsid w:val="2F9A7F4A"/>
    <w:rsid w:val="2FC733B8"/>
    <w:rsid w:val="2FCA4F20"/>
    <w:rsid w:val="300C4C70"/>
    <w:rsid w:val="303371BB"/>
    <w:rsid w:val="3044399D"/>
    <w:rsid w:val="305868C6"/>
    <w:rsid w:val="306445C1"/>
    <w:rsid w:val="30696F79"/>
    <w:rsid w:val="306F3DBA"/>
    <w:rsid w:val="30896C6B"/>
    <w:rsid w:val="30D2261F"/>
    <w:rsid w:val="30D46E8B"/>
    <w:rsid w:val="30DE0226"/>
    <w:rsid w:val="31007D5E"/>
    <w:rsid w:val="31115223"/>
    <w:rsid w:val="31263645"/>
    <w:rsid w:val="315C308A"/>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92565"/>
    <w:rsid w:val="330A16FB"/>
    <w:rsid w:val="33141FF7"/>
    <w:rsid w:val="33482976"/>
    <w:rsid w:val="33506C9F"/>
    <w:rsid w:val="33775E05"/>
    <w:rsid w:val="338574F9"/>
    <w:rsid w:val="338A75C2"/>
    <w:rsid w:val="33A078AB"/>
    <w:rsid w:val="33A222F8"/>
    <w:rsid w:val="33B85C62"/>
    <w:rsid w:val="33C3614F"/>
    <w:rsid w:val="33D62B96"/>
    <w:rsid w:val="344127C5"/>
    <w:rsid w:val="34526E6E"/>
    <w:rsid w:val="345B1895"/>
    <w:rsid w:val="3485590E"/>
    <w:rsid w:val="34946C2E"/>
    <w:rsid w:val="34A24AD6"/>
    <w:rsid w:val="34C04708"/>
    <w:rsid w:val="34D46D17"/>
    <w:rsid w:val="34FD5844"/>
    <w:rsid w:val="35280DED"/>
    <w:rsid w:val="3529369E"/>
    <w:rsid w:val="35463167"/>
    <w:rsid w:val="35665ADB"/>
    <w:rsid w:val="356E6C91"/>
    <w:rsid w:val="35816EB9"/>
    <w:rsid w:val="35821E3D"/>
    <w:rsid w:val="359F5261"/>
    <w:rsid w:val="35C2434B"/>
    <w:rsid w:val="35FE7215"/>
    <w:rsid w:val="35FF2DF2"/>
    <w:rsid w:val="36000F59"/>
    <w:rsid w:val="360B232F"/>
    <w:rsid w:val="36247CCA"/>
    <w:rsid w:val="36280FB0"/>
    <w:rsid w:val="36400759"/>
    <w:rsid w:val="364225B8"/>
    <w:rsid w:val="367B06EC"/>
    <w:rsid w:val="36AF0D32"/>
    <w:rsid w:val="36ED465C"/>
    <w:rsid w:val="370058B6"/>
    <w:rsid w:val="37066B46"/>
    <w:rsid w:val="37556EFB"/>
    <w:rsid w:val="37634C0D"/>
    <w:rsid w:val="37635AA2"/>
    <w:rsid w:val="376D038A"/>
    <w:rsid w:val="378D4EC4"/>
    <w:rsid w:val="37B01FC8"/>
    <w:rsid w:val="37F7211A"/>
    <w:rsid w:val="37FD2BB1"/>
    <w:rsid w:val="381D63E4"/>
    <w:rsid w:val="38454C9B"/>
    <w:rsid w:val="388116C0"/>
    <w:rsid w:val="388C714F"/>
    <w:rsid w:val="38946C1E"/>
    <w:rsid w:val="38E37461"/>
    <w:rsid w:val="39105A0A"/>
    <w:rsid w:val="391B76F1"/>
    <w:rsid w:val="392245B5"/>
    <w:rsid w:val="393D721A"/>
    <w:rsid w:val="393F0F59"/>
    <w:rsid w:val="394A6B61"/>
    <w:rsid w:val="394F360B"/>
    <w:rsid w:val="39825EF1"/>
    <w:rsid w:val="399D7118"/>
    <w:rsid w:val="39BC5220"/>
    <w:rsid w:val="39D879D3"/>
    <w:rsid w:val="39FC179E"/>
    <w:rsid w:val="3A014E17"/>
    <w:rsid w:val="3A066018"/>
    <w:rsid w:val="3A27547C"/>
    <w:rsid w:val="3A3871E3"/>
    <w:rsid w:val="3A3C3C45"/>
    <w:rsid w:val="3A663EB0"/>
    <w:rsid w:val="3A87071A"/>
    <w:rsid w:val="3A9B7C92"/>
    <w:rsid w:val="3AAC76F2"/>
    <w:rsid w:val="3AD8079E"/>
    <w:rsid w:val="3AF05E33"/>
    <w:rsid w:val="3AF1344F"/>
    <w:rsid w:val="3B362C4D"/>
    <w:rsid w:val="3B942B73"/>
    <w:rsid w:val="3B9674D7"/>
    <w:rsid w:val="3BA20424"/>
    <w:rsid w:val="3BB335AC"/>
    <w:rsid w:val="3BD3067E"/>
    <w:rsid w:val="3BD53AB5"/>
    <w:rsid w:val="3BEF40B2"/>
    <w:rsid w:val="3BFF61D4"/>
    <w:rsid w:val="3C0104C3"/>
    <w:rsid w:val="3C262C87"/>
    <w:rsid w:val="3C3C39A0"/>
    <w:rsid w:val="3C804923"/>
    <w:rsid w:val="3C9D3765"/>
    <w:rsid w:val="3C9E0FAA"/>
    <w:rsid w:val="3CA30947"/>
    <w:rsid w:val="3CA30B96"/>
    <w:rsid w:val="3CB85542"/>
    <w:rsid w:val="3CC000F8"/>
    <w:rsid w:val="3D277613"/>
    <w:rsid w:val="3D3538F7"/>
    <w:rsid w:val="3D3C5369"/>
    <w:rsid w:val="3D66205D"/>
    <w:rsid w:val="3D6D5EA9"/>
    <w:rsid w:val="3DA54021"/>
    <w:rsid w:val="3DD171A7"/>
    <w:rsid w:val="3DDC1724"/>
    <w:rsid w:val="3DEC18FE"/>
    <w:rsid w:val="3E2653DC"/>
    <w:rsid w:val="3E2B50D7"/>
    <w:rsid w:val="3E327F30"/>
    <w:rsid w:val="3E4754A6"/>
    <w:rsid w:val="3E49293D"/>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1414D"/>
    <w:rsid w:val="3FD81218"/>
    <w:rsid w:val="400479C3"/>
    <w:rsid w:val="40157CFE"/>
    <w:rsid w:val="40404B79"/>
    <w:rsid w:val="40797278"/>
    <w:rsid w:val="408E3720"/>
    <w:rsid w:val="40912007"/>
    <w:rsid w:val="409B357D"/>
    <w:rsid w:val="40BC2DF7"/>
    <w:rsid w:val="40CE14CF"/>
    <w:rsid w:val="40CF6877"/>
    <w:rsid w:val="40E86C9E"/>
    <w:rsid w:val="40EF3B27"/>
    <w:rsid w:val="411713CA"/>
    <w:rsid w:val="411A6663"/>
    <w:rsid w:val="412D5086"/>
    <w:rsid w:val="416E59E3"/>
    <w:rsid w:val="417C4EC1"/>
    <w:rsid w:val="41A664B7"/>
    <w:rsid w:val="41DF5CBF"/>
    <w:rsid w:val="42226713"/>
    <w:rsid w:val="422B2BA1"/>
    <w:rsid w:val="4231785A"/>
    <w:rsid w:val="42584818"/>
    <w:rsid w:val="427E48C1"/>
    <w:rsid w:val="42926048"/>
    <w:rsid w:val="429B6E22"/>
    <w:rsid w:val="42C845D8"/>
    <w:rsid w:val="43262E27"/>
    <w:rsid w:val="434841F7"/>
    <w:rsid w:val="434D6B99"/>
    <w:rsid w:val="437F792B"/>
    <w:rsid w:val="43BE214E"/>
    <w:rsid w:val="43ED298C"/>
    <w:rsid w:val="43EF2991"/>
    <w:rsid w:val="43F4696E"/>
    <w:rsid w:val="44597BEE"/>
    <w:rsid w:val="447A4753"/>
    <w:rsid w:val="44DD300E"/>
    <w:rsid w:val="44E2656D"/>
    <w:rsid w:val="44F11452"/>
    <w:rsid w:val="45177BA4"/>
    <w:rsid w:val="451C551F"/>
    <w:rsid w:val="451F3CCA"/>
    <w:rsid w:val="45341196"/>
    <w:rsid w:val="45493A4F"/>
    <w:rsid w:val="454E4188"/>
    <w:rsid w:val="45727755"/>
    <w:rsid w:val="45BA5028"/>
    <w:rsid w:val="45CA6C10"/>
    <w:rsid w:val="45E03532"/>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B3378"/>
    <w:rsid w:val="4766347D"/>
    <w:rsid w:val="478D4609"/>
    <w:rsid w:val="478D6A12"/>
    <w:rsid w:val="4797288E"/>
    <w:rsid w:val="47A32AF0"/>
    <w:rsid w:val="47AF032C"/>
    <w:rsid w:val="47B461B4"/>
    <w:rsid w:val="47BA0CEF"/>
    <w:rsid w:val="47BB16A6"/>
    <w:rsid w:val="47EA4D37"/>
    <w:rsid w:val="47EC146A"/>
    <w:rsid w:val="48334280"/>
    <w:rsid w:val="48386782"/>
    <w:rsid w:val="48455013"/>
    <w:rsid w:val="484B7369"/>
    <w:rsid w:val="48811612"/>
    <w:rsid w:val="488818E0"/>
    <w:rsid w:val="48CA5AEB"/>
    <w:rsid w:val="48E06989"/>
    <w:rsid w:val="48E92C88"/>
    <w:rsid w:val="48EB1D85"/>
    <w:rsid w:val="48FB4196"/>
    <w:rsid w:val="494C141C"/>
    <w:rsid w:val="4987544D"/>
    <w:rsid w:val="49AE3D92"/>
    <w:rsid w:val="49C55CAD"/>
    <w:rsid w:val="49CA225D"/>
    <w:rsid w:val="4A1203E3"/>
    <w:rsid w:val="4A863FBD"/>
    <w:rsid w:val="4AA927DF"/>
    <w:rsid w:val="4ABD2CBE"/>
    <w:rsid w:val="4ACA49FA"/>
    <w:rsid w:val="4AE8469B"/>
    <w:rsid w:val="4AED30D2"/>
    <w:rsid w:val="4AF05435"/>
    <w:rsid w:val="4AFE1C1B"/>
    <w:rsid w:val="4B503DE9"/>
    <w:rsid w:val="4B592E57"/>
    <w:rsid w:val="4B731311"/>
    <w:rsid w:val="4B7B1A45"/>
    <w:rsid w:val="4B9A2375"/>
    <w:rsid w:val="4C1F7A5B"/>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A1355F"/>
    <w:rsid w:val="4DF67531"/>
    <w:rsid w:val="4E066E93"/>
    <w:rsid w:val="4E1D7E77"/>
    <w:rsid w:val="4E236A05"/>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9526FC"/>
    <w:rsid w:val="52A17AC6"/>
    <w:rsid w:val="52BB4B79"/>
    <w:rsid w:val="52C04D72"/>
    <w:rsid w:val="52CA35B0"/>
    <w:rsid w:val="52DD15C5"/>
    <w:rsid w:val="53131C59"/>
    <w:rsid w:val="53345BA9"/>
    <w:rsid w:val="53396085"/>
    <w:rsid w:val="53670639"/>
    <w:rsid w:val="53996A68"/>
    <w:rsid w:val="53B84C8E"/>
    <w:rsid w:val="53F52A77"/>
    <w:rsid w:val="5414272D"/>
    <w:rsid w:val="54871B54"/>
    <w:rsid w:val="549F3EDE"/>
    <w:rsid w:val="54AA3CD9"/>
    <w:rsid w:val="54B76615"/>
    <w:rsid w:val="54EA3219"/>
    <w:rsid w:val="550118A5"/>
    <w:rsid w:val="557A16A0"/>
    <w:rsid w:val="559A22C4"/>
    <w:rsid w:val="559F228F"/>
    <w:rsid w:val="55B54251"/>
    <w:rsid w:val="55BF6F1A"/>
    <w:rsid w:val="55E8090D"/>
    <w:rsid w:val="55F64C67"/>
    <w:rsid w:val="562A1609"/>
    <w:rsid w:val="563F74A4"/>
    <w:rsid w:val="566B53D2"/>
    <w:rsid w:val="567B1141"/>
    <w:rsid w:val="569A3398"/>
    <w:rsid w:val="56EB3361"/>
    <w:rsid w:val="56F40954"/>
    <w:rsid w:val="56F72F30"/>
    <w:rsid w:val="570D256E"/>
    <w:rsid w:val="57301450"/>
    <w:rsid w:val="5753468B"/>
    <w:rsid w:val="575B3101"/>
    <w:rsid w:val="5760479D"/>
    <w:rsid w:val="576D43D6"/>
    <w:rsid w:val="57707E6E"/>
    <w:rsid w:val="5779650A"/>
    <w:rsid w:val="57F25C54"/>
    <w:rsid w:val="58037259"/>
    <w:rsid w:val="58164A86"/>
    <w:rsid w:val="58603614"/>
    <w:rsid w:val="58615E6E"/>
    <w:rsid w:val="58635793"/>
    <w:rsid w:val="588C11D6"/>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E31485"/>
    <w:rsid w:val="5AF626D8"/>
    <w:rsid w:val="5AF62900"/>
    <w:rsid w:val="5AFC40F3"/>
    <w:rsid w:val="5B0D46E9"/>
    <w:rsid w:val="5B22062D"/>
    <w:rsid w:val="5B2B355B"/>
    <w:rsid w:val="5B3E3090"/>
    <w:rsid w:val="5B736DFC"/>
    <w:rsid w:val="5B74248A"/>
    <w:rsid w:val="5B792AC6"/>
    <w:rsid w:val="5B7C3A7D"/>
    <w:rsid w:val="5B8675CA"/>
    <w:rsid w:val="5BA652CD"/>
    <w:rsid w:val="5BDA1A02"/>
    <w:rsid w:val="5BDA3815"/>
    <w:rsid w:val="5C100E26"/>
    <w:rsid w:val="5C4C3CC9"/>
    <w:rsid w:val="5C5C59BB"/>
    <w:rsid w:val="5C6A1E8C"/>
    <w:rsid w:val="5C6F3AA2"/>
    <w:rsid w:val="5C85298F"/>
    <w:rsid w:val="5CF20C05"/>
    <w:rsid w:val="5CF617C9"/>
    <w:rsid w:val="5D047EE8"/>
    <w:rsid w:val="5D126228"/>
    <w:rsid w:val="5D1949C1"/>
    <w:rsid w:val="5D1F3C0E"/>
    <w:rsid w:val="5D3A42DC"/>
    <w:rsid w:val="5DCE771F"/>
    <w:rsid w:val="5DD3556C"/>
    <w:rsid w:val="5DEC3B70"/>
    <w:rsid w:val="5DF84369"/>
    <w:rsid w:val="5DF92DCB"/>
    <w:rsid w:val="5E280CB5"/>
    <w:rsid w:val="5E447267"/>
    <w:rsid w:val="5E4A572D"/>
    <w:rsid w:val="5E5667A6"/>
    <w:rsid w:val="5E676802"/>
    <w:rsid w:val="5E6C7C78"/>
    <w:rsid w:val="5E815CED"/>
    <w:rsid w:val="5E887A26"/>
    <w:rsid w:val="5EB02786"/>
    <w:rsid w:val="5EC56393"/>
    <w:rsid w:val="5EFE34A1"/>
    <w:rsid w:val="5F173FD8"/>
    <w:rsid w:val="5F6E2815"/>
    <w:rsid w:val="5F7C06D8"/>
    <w:rsid w:val="5FD9462B"/>
    <w:rsid w:val="5FFB6305"/>
    <w:rsid w:val="60011320"/>
    <w:rsid w:val="6057025C"/>
    <w:rsid w:val="606F133D"/>
    <w:rsid w:val="60916901"/>
    <w:rsid w:val="60993336"/>
    <w:rsid w:val="60A27DAC"/>
    <w:rsid w:val="60B91733"/>
    <w:rsid w:val="610B115D"/>
    <w:rsid w:val="612650A2"/>
    <w:rsid w:val="61275225"/>
    <w:rsid w:val="614041D7"/>
    <w:rsid w:val="616C655B"/>
    <w:rsid w:val="616E381D"/>
    <w:rsid w:val="61A21ED5"/>
    <w:rsid w:val="61BA5EFD"/>
    <w:rsid w:val="61C7660C"/>
    <w:rsid w:val="61D81BE2"/>
    <w:rsid w:val="61DD0334"/>
    <w:rsid w:val="61E93AD6"/>
    <w:rsid w:val="620100B1"/>
    <w:rsid w:val="62190F45"/>
    <w:rsid w:val="62193B80"/>
    <w:rsid w:val="621B4181"/>
    <w:rsid w:val="6234741F"/>
    <w:rsid w:val="62353B47"/>
    <w:rsid w:val="624076D6"/>
    <w:rsid w:val="628C53F9"/>
    <w:rsid w:val="62A20B07"/>
    <w:rsid w:val="62A414E0"/>
    <w:rsid w:val="62CC77CB"/>
    <w:rsid w:val="62F3784F"/>
    <w:rsid w:val="62FF3FB5"/>
    <w:rsid w:val="63021DE2"/>
    <w:rsid w:val="63112339"/>
    <w:rsid w:val="63930FBA"/>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4DF1A48"/>
    <w:rsid w:val="65137300"/>
    <w:rsid w:val="6526740F"/>
    <w:rsid w:val="6556674F"/>
    <w:rsid w:val="655F2B6C"/>
    <w:rsid w:val="65862CD9"/>
    <w:rsid w:val="6588686F"/>
    <w:rsid w:val="659E46D8"/>
    <w:rsid w:val="65A57048"/>
    <w:rsid w:val="65B50E5A"/>
    <w:rsid w:val="65D54781"/>
    <w:rsid w:val="660867AF"/>
    <w:rsid w:val="6615440C"/>
    <w:rsid w:val="662D27C6"/>
    <w:rsid w:val="66452FE9"/>
    <w:rsid w:val="668D7DF1"/>
    <w:rsid w:val="66C501FC"/>
    <w:rsid w:val="66D60DB1"/>
    <w:rsid w:val="66E561D8"/>
    <w:rsid w:val="66F00AF0"/>
    <w:rsid w:val="6700750E"/>
    <w:rsid w:val="674A3387"/>
    <w:rsid w:val="67580868"/>
    <w:rsid w:val="67610EFA"/>
    <w:rsid w:val="678D5B85"/>
    <w:rsid w:val="67995A29"/>
    <w:rsid w:val="67DC482A"/>
    <w:rsid w:val="67E55620"/>
    <w:rsid w:val="67EA5494"/>
    <w:rsid w:val="67ED1ADF"/>
    <w:rsid w:val="68091997"/>
    <w:rsid w:val="6815717B"/>
    <w:rsid w:val="681B7F08"/>
    <w:rsid w:val="68347A35"/>
    <w:rsid w:val="6844372D"/>
    <w:rsid w:val="684D6D87"/>
    <w:rsid w:val="68525B9B"/>
    <w:rsid w:val="685F5A5D"/>
    <w:rsid w:val="688432AD"/>
    <w:rsid w:val="6886482A"/>
    <w:rsid w:val="688E57BC"/>
    <w:rsid w:val="68904BFB"/>
    <w:rsid w:val="68A0499E"/>
    <w:rsid w:val="68AE3670"/>
    <w:rsid w:val="68C332BA"/>
    <w:rsid w:val="68C708F2"/>
    <w:rsid w:val="68D56251"/>
    <w:rsid w:val="68EF5946"/>
    <w:rsid w:val="68FF6567"/>
    <w:rsid w:val="693118AD"/>
    <w:rsid w:val="69603C4B"/>
    <w:rsid w:val="69614422"/>
    <w:rsid w:val="69683F1C"/>
    <w:rsid w:val="69930E11"/>
    <w:rsid w:val="699C0EF8"/>
    <w:rsid w:val="69AB5DBB"/>
    <w:rsid w:val="69B840F1"/>
    <w:rsid w:val="69C91948"/>
    <w:rsid w:val="6A2826A1"/>
    <w:rsid w:val="6A551347"/>
    <w:rsid w:val="6A5D1911"/>
    <w:rsid w:val="6A9F3407"/>
    <w:rsid w:val="6AA45AEE"/>
    <w:rsid w:val="6AAA05A9"/>
    <w:rsid w:val="6AE60B4C"/>
    <w:rsid w:val="6B3529D0"/>
    <w:rsid w:val="6B3C6A10"/>
    <w:rsid w:val="6B5B3158"/>
    <w:rsid w:val="6B726A7C"/>
    <w:rsid w:val="6B8902B7"/>
    <w:rsid w:val="6BBA5C26"/>
    <w:rsid w:val="6BCF61CC"/>
    <w:rsid w:val="6BE963BE"/>
    <w:rsid w:val="6C0F365E"/>
    <w:rsid w:val="6C2E2CA9"/>
    <w:rsid w:val="6C3E3641"/>
    <w:rsid w:val="6C740601"/>
    <w:rsid w:val="6CC92C88"/>
    <w:rsid w:val="6D616216"/>
    <w:rsid w:val="6D932C97"/>
    <w:rsid w:val="6DA225C5"/>
    <w:rsid w:val="6DB630F7"/>
    <w:rsid w:val="6E04099A"/>
    <w:rsid w:val="6E0E61FC"/>
    <w:rsid w:val="6E3101C1"/>
    <w:rsid w:val="6E451A64"/>
    <w:rsid w:val="6E67698D"/>
    <w:rsid w:val="6E6839F7"/>
    <w:rsid w:val="6E6F52DB"/>
    <w:rsid w:val="6E733F82"/>
    <w:rsid w:val="6E874489"/>
    <w:rsid w:val="6EA0744D"/>
    <w:rsid w:val="6EA3291D"/>
    <w:rsid w:val="6EA67504"/>
    <w:rsid w:val="6EDD75A0"/>
    <w:rsid w:val="6F0D2298"/>
    <w:rsid w:val="6F4B77AB"/>
    <w:rsid w:val="6F5A407F"/>
    <w:rsid w:val="6F8E2CA0"/>
    <w:rsid w:val="6F9045BD"/>
    <w:rsid w:val="6F991282"/>
    <w:rsid w:val="6FAD4095"/>
    <w:rsid w:val="6FD071A2"/>
    <w:rsid w:val="6FD57D31"/>
    <w:rsid w:val="6FD969D9"/>
    <w:rsid w:val="6FDF42CC"/>
    <w:rsid w:val="700A32D4"/>
    <w:rsid w:val="70512274"/>
    <w:rsid w:val="706E4225"/>
    <w:rsid w:val="7071512F"/>
    <w:rsid w:val="70836044"/>
    <w:rsid w:val="70963635"/>
    <w:rsid w:val="709B2B17"/>
    <w:rsid w:val="709E757C"/>
    <w:rsid w:val="70AB6982"/>
    <w:rsid w:val="70B960E4"/>
    <w:rsid w:val="70CE2945"/>
    <w:rsid w:val="710003A8"/>
    <w:rsid w:val="710F0BB8"/>
    <w:rsid w:val="71194261"/>
    <w:rsid w:val="711C5BB5"/>
    <w:rsid w:val="7144689C"/>
    <w:rsid w:val="717E5F2F"/>
    <w:rsid w:val="718B15C7"/>
    <w:rsid w:val="71B2274D"/>
    <w:rsid w:val="71B4772D"/>
    <w:rsid w:val="71BF4E45"/>
    <w:rsid w:val="71C20258"/>
    <w:rsid w:val="71CC7EBE"/>
    <w:rsid w:val="71D20555"/>
    <w:rsid w:val="71DA77B8"/>
    <w:rsid w:val="72355C90"/>
    <w:rsid w:val="72370EF3"/>
    <w:rsid w:val="723E1C2C"/>
    <w:rsid w:val="724A0B59"/>
    <w:rsid w:val="724B3C7A"/>
    <w:rsid w:val="72522107"/>
    <w:rsid w:val="7258227F"/>
    <w:rsid w:val="72725AF0"/>
    <w:rsid w:val="727E25B6"/>
    <w:rsid w:val="72A264DB"/>
    <w:rsid w:val="72A53B49"/>
    <w:rsid w:val="72BD48D1"/>
    <w:rsid w:val="72C65D78"/>
    <w:rsid w:val="72D7336E"/>
    <w:rsid w:val="72FD0906"/>
    <w:rsid w:val="72FE7F64"/>
    <w:rsid w:val="73795D74"/>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73AB6"/>
    <w:rsid w:val="75480DFD"/>
    <w:rsid w:val="755A639D"/>
    <w:rsid w:val="75612341"/>
    <w:rsid w:val="75CA48E7"/>
    <w:rsid w:val="765629A7"/>
    <w:rsid w:val="76752691"/>
    <w:rsid w:val="76924971"/>
    <w:rsid w:val="76933E2E"/>
    <w:rsid w:val="76A27B4C"/>
    <w:rsid w:val="76B918A6"/>
    <w:rsid w:val="76BC587C"/>
    <w:rsid w:val="76BF7808"/>
    <w:rsid w:val="76C00AFC"/>
    <w:rsid w:val="76ED1347"/>
    <w:rsid w:val="76F433E8"/>
    <w:rsid w:val="771946D8"/>
    <w:rsid w:val="772268FD"/>
    <w:rsid w:val="772B3B26"/>
    <w:rsid w:val="77474684"/>
    <w:rsid w:val="775666E2"/>
    <w:rsid w:val="77A82770"/>
    <w:rsid w:val="77BD7E72"/>
    <w:rsid w:val="77ED0386"/>
    <w:rsid w:val="77F72469"/>
    <w:rsid w:val="78366B8C"/>
    <w:rsid w:val="783B287A"/>
    <w:rsid w:val="78482C69"/>
    <w:rsid w:val="788F1BAF"/>
    <w:rsid w:val="78B43B82"/>
    <w:rsid w:val="78BB76EA"/>
    <w:rsid w:val="78FB1BD1"/>
    <w:rsid w:val="79213328"/>
    <w:rsid w:val="7964511F"/>
    <w:rsid w:val="799E7491"/>
    <w:rsid w:val="799F3F47"/>
    <w:rsid w:val="79A72484"/>
    <w:rsid w:val="79BA471D"/>
    <w:rsid w:val="79DF005F"/>
    <w:rsid w:val="7A114E8A"/>
    <w:rsid w:val="7A1C5B1C"/>
    <w:rsid w:val="7A4653BA"/>
    <w:rsid w:val="7A5025A2"/>
    <w:rsid w:val="7A765EEC"/>
    <w:rsid w:val="7A790CA9"/>
    <w:rsid w:val="7AB83F1D"/>
    <w:rsid w:val="7AD234FC"/>
    <w:rsid w:val="7AE2061C"/>
    <w:rsid w:val="7B002131"/>
    <w:rsid w:val="7B0864F6"/>
    <w:rsid w:val="7B1B16D3"/>
    <w:rsid w:val="7B2E6780"/>
    <w:rsid w:val="7B5D217A"/>
    <w:rsid w:val="7B614801"/>
    <w:rsid w:val="7B684A54"/>
    <w:rsid w:val="7B913B86"/>
    <w:rsid w:val="7B97422A"/>
    <w:rsid w:val="7BA969F0"/>
    <w:rsid w:val="7BB31B68"/>
    <w:rsid w:val="7C194469"/>
    <w:rsid w:val="7C1A6CD5"/>
    <w:rsid w:val="7C2630F4"/>
    <w:rsid w:val="7C45471C"/>
    <w:rsid w:val="7C7F3629"/>
    <w:rsid w:val="7C8B7A6D"/>
    <w:rsid w:val="7C90110D"/>
    <w:rsid w:val="7C9B6AF6"/>
    <w:rsid w:val="7CA34622"/>
    <w:rsid w:val="7CCB7ADC"/>
    <w:rsid w:val="7D082B97"/>
    <w:rsid w:val="7D2F6FF7"/>
    <w:rsid w:val="7D303FCF"/>
    <w:rsid w:val="7D332F6D"/>
    <w:rsid w:val="7D3D587B"/>
    <w:rsid w:val="7D4435DF"/>
    <w:rsid w:val="7D6E6D2F"/>
    <w:rsid w:val="7DB838C8"/>
    <w:rsid w:val="7DC23C3E"/>
    <w:rsid w:val="7DCA5633"/>
    <w:rsid w:val="7DF46E1B"/>
    <w:rsid w:val="7E0464CE"/>
    <w:rsid w:val="7E202324"/>
    <w:rsid w:val="7E2C2660"/>
    <w:rsid w:val="7E476D34"/>
    <w:rsid w:val="7E6D6DAE"/>
    <w:rsid w:val="7EA32AD0"/>
    <w:rsid w:val="7ED953E3"/>
    <w:rsid w:val="7EF765D0"/>
    <w:rsid w:val="7EF87C96"/>
    <w:rsid w:val="7F301B1E"/>
    <w:rsid w:val="7F375D0A"/>
    <w:rsid w:val="7F500CBA"/>
    <w:rsid w:val="7F587DE1"/>
    <w:rsid w:val="7F820D78"/>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D942DA"/>
  <w15:docId w15:val="{0A57A2F7-84C6-420F-8425-7FB0B61C4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2"/>
      <w:szCs w:val="22"/>
    </w:rPr>
  </w:style>
  <w:style w:type="paragraph" w:styleId="Heading1">
    <w:name w:val="heading 1"/>
    <w:basedOn w:val="Normal"/>
    <w:next w:val="Normal"/>
    <w:link w:val="Heading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before="260" w:after="260" w:line="413" w:lineRule="auto"/>
      <w:outlineLvl w:val="1"/>
    </w:pPr>
    <w:rPr>
      <w:b w:val="0"/>
      <w:sz w:val="32"/>
    </w:rPr>
  </w:style>
  <w:style w:type="paragraph" w:styleId="Heading3">
    <w:name w:val="heading 3"/>
    <w:basedOn w:val="Heading2"/>
    <w:next w:val="Normal"/>
    <w:link w:val="Heading3Char"/>
    <w:uiPriority w:val="9"/>
    <w:qFormat/>
    <w:pPr>
      <w:numPr>
        <w:ilvl w:val="2"/>
      </w:numPr>
      <w:spacing w:line="416" w:lineRule="auto"/>
      <w:outlineLvl w:val="2"/>
    </w:pPr>
    <w:rPr>
      <w:b/>
      <w:bCs w:val="0"/>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outlineLvl w:val="4"/>
    </w:pPr>
    <w:rPr>
      <w:rFonts w:ascii="宋体" w:hAnsi="宋体" w:hint="eastAsia"/>
      <w:b/>
      <w:color w:val="666666"/>
      <w:sz w:val="20"/>
      <w:szCs w:val="20"/>
    </w:rPr>
  </w:style>
  <w:style w:type="paragraph" w:styleId="Heading6">
    <w:name w:val="heading 6"/>
    <w:basedOn w:val="Normal"/>
    <w:next w:val="Normal"/>
    <w:link w:val="Heading6Char"/>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Heading7">
    <w:name w:val="heading 7"/>
    <w:basedOn w:val="Normal"/>
    <w:next w:val="Normal"/>
    <w:link w:val="Heading7Char"/>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Heading8">
    <w:name w:val="heading 8"/>
    <w:basedOn w:val="Normal"/>
    <w:next w:val="Normal"/>
    <w:link w:val="Heading8Char"/>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Heading9">
    <w:name w:val="heading 9"/>
    <w:basedOn w:val="Normal"/>
    <w:next w:val="Normal"/>
    <w:link w:val="Heading9Char"/>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BodyText">
    <w:name w:val="Body Text"/>
    <w:basedOn w:val="Normal"/>
    <w:link w:val="BodyTextChar"/>
    <w:qFormat/>
    <w:pPr>
      <w:widowControl w:val="0"/>
      <w:jc w:val="both"/>
    </w:pPr>
    <w:rPr>
      <w:color w:val="0000FF"/>
      <w:kern w:val="2"/>
      <w:sz w:val="21"/>
      <w:szCs w:val="20"/>
    </w:r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ColorfulShading-Accent3">
    <w:name w:val="Colorful Shading Accent 3"/>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CaptionChar">
    <w:name w:val="Caption Char"/>
    <w:link w:val="Caption"/>
    <w:qFormat/>
    <w:rPr>
      <w:rFonts w:ascii="Times New Roman" w:hAnsi="Times New Roman"/>
      <w:b/>
      <w:bCs/>
      <w:lang w:val="en-GB" w:eastAsia="sv-SE"/>
    </w:rPr>
  </w:style>
  <w:style w:type="character" w:customStyle="1" w:styleId="high-light">
    <w:name w:val="high-light"/>
    <w:basedOn w:val="DefaultParagraphFont"/>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Normal"/>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Normal"/>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ind w:left="568" w:firstLineChars="0" w:hanging="284"/>
    </w:pPr>
    <w:rPr>
      <w:sz w:val="20"/>
      <w:szCs w:val="20"/>
      <w:lang w:val="en-GB" w:eastAsia="en-US"/>
    </w:rPr>
  </w:style>
  <w:style w:type="character" w:customStyle="1" w:styleId="DocumentMapChar">
    <w:name w:val="Document Map Char"/>
    <w:link w:val="DocumentMap"/>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Normal"/>
    <w:link w:val="B3Char"/>
    <w:qFormat/>
    <w:pPr>
      <w:spacing w:after="180"/>
      <w:ind w:left="1135" w:hanging="284"/>
    </w:pPr>
    <w:rPr>
      <w:rFonts w:eastAsia="Malgun Gothic"/>
      <w:sz w:val="20"/>
      <w:szCs w:val="20"/>
      <w:lang w:val="en-GB" w:eastAsia="en-US"/>
    </w:rPr>
  </w:style>
  <w:style w:type="character" w:customStyle="1" w:styleId="ListParagraphChar">
    <w:name w:val="List Paragraph Char"/>
    <w:link w:val="ListParagraph"/>
    <w:uiPriority w:val="34"/>
    <w:qFormat/>
    <w:locked/>
    <w:rPr>
      <w:rFonts w:ascii="Times" w:eastAsia="Batang" w:hAnsi="Times"/>
      <w:szCs w:val="24"/>
      <w:lang w:val="en-GB"/>
    </w:rPr>
  </w:style>
  <w:style w:type="paragraph" w:styleId="ListParagraph">
    <w:name w:val="List Paragraph"/>
    <w:basedOn w:val="Normal"/>
    <w:link w:val="ListParagraphChar"/>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pPr>
    <w:rPr>
      <w:rFonts w:ascii="Arial" w:hAnsi="Arial"/>
      <w:sz w:val="18"/>
      <w:szCs w:val="20"/>
      <w:lang w:val="en-GB" w:eastAsia="en-US"/>
    </w:rPr>
  </w:style>
  <w:style w:type="character" w:customStyle="1" w:styleId="pos">
    <w:name w:val="pos"/>
    <w:basedOn w:val="DefaultParagraphFont"/>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DefaultParagraphFont"/>
    <w:qFormat/>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character" w:customStyle="1" w:styleId="Heading3Char">
    <w:name w:val="Heading 3 Char"/>
    <w:link w:val="Heading3"/>
    <w:uiPriority w:val="9"/>
    <w:qFormat/>
    <w:rPr>
      <w:b/>
      <w:bCs/>
      <w:sz w:val="32"/>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Normal"/>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DefaultParagraphFont"/>
    <w:qFormat/>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Normal"/>
    <w:link w:val="MediumGrid1-Accent2Char"/>
    <w:uiPriority w:val="34"/>
    <w:qFormat/>
    <w:pPr>
      <w:ind w:firstLineChars="200" w:firstLine="420"/>
    </w:pPr>
  </w:style>
  <w:style w:type="character" w:customStyle="1" w:styleId="FootnoteTextChar">
    <w:name w:val="Footnote Text Char"/>
    <w:link w:val="FootnoteText"/>
    <w:semiHidden/>
    <w:qFormat/>
    <w:rPr>
      <w:rFonts w:ascii="Times" w:eastAsia="Batang" w:hAnsi="Times"/>
      <w:lang w:eastAsia="en-US"/>
    </w:rPr>
  </w:style>
  <w:style w:type="character" w:customStyle="1" w:styleId="BodyTextChar">
    <w:name w:val="Body Text Char"/>
    <w:link w:val="BodyText"/>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HeaderChar">
    <w:name w:val="Header Char"/>
    <w:link w:val="Header"/>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Normal"/>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CommentSubjectChar">
    <w:name w:val="Comment Subject Char"/>
    <w:link w:val="CommentSubject"/>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DefaultParagraphFont"/>
    <w:qFormat/>
  </w:style>
  <w:style w:type="character" w:customStyle="1" w:styleId="CommentTextChar">
    <w:name w:val="Comment Text Char"/>
    <w:basedOn w:val="DefaultParagraphFont"/>
    <w:link w:val="CommentText"/>
    <w:uiPriority w:val="99"/>
    <w:qFormat/>
  </w:style>
  <w:style w:type="character" w:customStyle="1" w:styleId="Heading2Char">
    <w:name w:val="Heading 2 Char"/>
    <w:link w:val="Heading2"/>
    <w:qFormat/>
    <w:rPr>
      <w:rFonts w:ascii="Arial" w:eastAsia="黑体" w:hAnsi="Arial"/>
      <w:b/>
      <w:sz w:val="32"/>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def">
    <w:name w:val="def"/>
    <w:basedOn w:val="DefaultParagraphFont"/>
    <w:qFormat/>
  </w:style>
  <w:style w:type="character" w:customStyle="1" w:styleId="B2Char">
    <w:name w:val="B2 Char"/>
    <w:link w:val="B2"/>
    <w:qFormat/>
    <w:rPr>
      <w:rFonts w:eastAsia="Malgun Gothic"/>
      <w:lang w:val="en-GB" w:eastAsia="en-US"/>
    </w:rPr>
  </w:style>
  <w:style w:type="paragraph" w:customStyle="1" w:styleId="B2">
    <w:name w:val="B2"/>
    <w:basedOn w:val="Normal"/>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Normal"/>
    <w:qFormat/>
    <w:pPr>
      <w:spacing w:before="100" w:beforeAutospacing="1" w:after="100" w:afterAutospacing="1"/>
    </w:pPr>
    <w:rPr>
      <w:rFonts w:ascii="宋体" w:hAnsi="宋体" w:cs="宋体"/>
      <w:sz w:val="24"/>
      <w:szCs w:val="24"/>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Normal"/>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BodyText"/>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Normal"/>
    <w:qFormat/>
    <w:pPr>
      <w:jc w:val="both"/>
    </w:pPr>
    <w:rPr>
      <w:rFonts w:eastAsia="Times New Roman"/>
      <w:sz w:val="16"/>
      <w:szCs w:val="24"/>
      <w:lang w:eastAsia="en-US"/>
    </w:rPr>
  </w:style>
  <w:style w:type="paragraph" w:customStyle="1" w:styleId="EW">
    <w:name w:val="EW"/>
    <w:basedOn w:val="Normal"/>
    <w:qFormat/>
    <w:pPr>
      <w:keepLines/>
      <w:ind w:left="1702" w:hanging="1418"/>
    </w:pPr>
    <w:rPr>
      <w:rFonts w:eastAsia="等线"/>
      <w:sz w:val="20"/>
      <w:szCs w:val="20"/>
      <w:lang w:val="en-GB" w:eastAsia="en-US"/>
    </w:rPr>
  </w:style>
  <w:style w:type="paragraph" w:customStyle="1" w:styleId="-110">
    <w:name w:val="彩色列表 - 强调文字颜色 11"/>
    <w:basedOn w:val="Normal"/>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Normal"/>
    <w:next w:val="Normal"/>
    <w:qFormat/>
    <w:pPr>
      <w:keepLines/>
      <w:tabs>
        <w:tab w:val="center" w:pos="4536"/>
        <w:tab w:val="right" w:pos="9072"/>
      </w:tabs>
      <w:spacing w:after="180"/>
    </w:pPr>
    <w:rPr>
      <w:sz w:val="20"/>
      <w:szCs w:val="20"/>
      <w:lang w:val="en-GB" w:eastAsia="en-US"/>
    </w:rPr>
  </w:style>
  <w:style w:type="paragraph" w:customStyle="1" w:styleId="H6">
    <w:name w:val="H6"/>
    <w:basedOn w:val="Heading5"/>
    <w:next w:val="Normal"/>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Normal"/>
    <w:uiPriority w:val="99"/>
    <w:qFormat/>
    <w:pPr>
      <w:widowControl w:val="0"/>
      <w:ind w:firstLineChars="200" w:firstLine="420"/>
      <w:jc w:val="both"/>
    </w:pPr>
    <w:rPr>
      <w:kern w:val="2"/>
      <w:sz w:val="21"/>
      <w:szCs w:val="24"/>
    </w:rPr>
  </w:style>
  <w:style w:type="paragraph" w:customStyle="1" w:styleId="a">
    <w:name w:val="表格文字居左"/>
    <w:basedOn w:val="Normal"/>
    <w:next w:val="Normal"/>
    <w:qFormat/>
    <w:pPr>
      <w:widowControl w:val="0"/>
      <w:jc w:val="both"/>
    </w:pPr>
    <w:rPr>
      <w:rFonts w:ascii="Arial" w:hAnsi="Arial" w:cs="宋体"/>
      <w:kern w:val="2"/>
      <w:sz w:val="21"/>
      <w:szCs w:val="20"/>
    </w:rPr>
  </w:style>
  <w:style w:type="paragraph" w:customStyle="1" w:styleId="Revision1">
    <w:name w:val="Revision1"/>
    <w:uiPriority w:val="99"/>
    <w:unhideWhenUsed/>
    <w:qFormat/>
    <w:rPr>
      <w:sz w:val="22"/>
      <w:szCs w:val="22"/>
    </w:rPr>
  </w:style>
  <w:style w:type="table" w:customStyle="1" w:styleId="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Heading6Char">
    <w:name w:val="Heading 6 Char"/>
    <w:link w:val="Heading6"/>
    <w:uiPriority w:val="9"/>
    <w:qFormat/>
    <w:rPr>
      <w:rFonts w:ascii="Cambria" w:eastAsia="Times New Roman" w:hAnsi="Cambria" w:cs="黑体"/>
      <w:b/>
      <w:bCs/>
      <w:szCs w:val="24"/>
    </w:rPr>
  </w:style>
  <w:style w:type="character" w:customStyle="1" w:styleId="Heading7Char">
    <w:name w:val="Heading 7 Char"/>
    <w:link w:val="Heading7"/>
    <w:uiPriority w:val="9"/>
    <w:qFormat/>
    <w:rPr>
      <w:rFonts w:eastAsia="Times New Roman"/>
      <w:b/>
      <w:bCs/>
      <w:szCs w:val="24"/>
    </w:rPr>
  </w:style>
  <w:style w:type="character" w:customStyle="1" w:styleId="Heading8Char">
    <w:name w:val="Heading 8 Char"/>
    <w:link w:val="Heading8"/>
    <w:uiPriority w:val="9"/>
    <w:qFormat/>
    <w:rPr>
      <w:rFonts w:ascii="Cambria" w:eastAsia="Times New Roman" w:hAnsi="Cambria" w:cs="黑体"/>
      <w:szCs w:val="24"/>
    </w:rPr>
  </w:style>
  <w:style w:type="character" w:customStyle="1" w:styleId="Heading9Char">
    <w:name w:val="Heading 9 Char"/>
    <w:link w:val="Heading9"/>
    <w:uiPriority w:val="9"/>
    <w:qFormat/>
    <w:rPr>
      <w:rFonts w:ascii="Cambria" w:eastAsia="Times New Roman" w:hAnsi="Cambria" w:cs="黑体"/>
      <w:sz w:val="21"/>
      <w:szCs w:val="21"/>
    </w:rPr>
  </w:style>
  <w:style w:type="paragraph" w:customStyle="1" w:styleId="References">
    <w:name w:val="References"/>
    <w:basedOn w:val="Normal"/>
    <w:qFormat/>
    <w:pPr>
      <w:numPr>
        <w:numId w:val="6"/>
      </w:numPr>
      <w:adjustRightInd w:val="0"/>
      <w:snapToGrid w:val="0"/>
      <w:spacing w:beforeLines="30" w:before="30" w:afterLines="30" w:after="60" w:line="264" w:lineRule="auto"/>
      <w:jc w:val="both"/>
    </w:pPr>
    <w:rPr>
      <w:rFonts w:eastAsia="Times New Roman"/>
      <w:sz w:val="20"/>
      <w:szCs w:val="16"/>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N">
    <w:name w:val="TAN"/>
    <w:basedOn w:val="TAL"/>
    <w:qFormat/>
    <w:pPr>
      <w:widowControl w:val="0"/>
      <w:spacing w:before="100" w:beforeAutospacing="1"/>
      <w:ind w:left="851" w:hanging="851"/>
    </w:pPr>
    <w:rPr>
      <w:rFonts w:eastAsia="t"/>
      <w:szCs w:val="18"/>
      <w:lang w:val="en-US" w:eastAsia="zh-CN"/>
    </w:rPr>
  </w:style>
  <w:style w:type="paragraph" w:customStyle="1" w:styleId="YJ-Proposal">
    <w:name w:val="YJ-Proposal"/>
    <w:basedOn w:val="Normal"/>
    <w:qFormat/>
    <w:pPr>
      <w:numPr>
        <w:numId w:val="7"/>
      </w:numPr>
      <w:spacing w:beforeLines="50" w:afterLines="50" w:after="160" w:line="259" w:lineRule="auto"/>
    </w:pPr>
    <w:rPr>
      <w:rFonts w:eastAsiaTheme="minorEastAsia"/>
      <w:b/>
      <w:bCs/>
      <w:i/>
      <w:iCs/>
      <w:kern w:val="2"/>
      <w:sz w:val="20"/>
      <w:szCs w:val="20"/>
      <w:lang w:val="en-GB" w:eastAsia="en-US"/>
    </w:rPr>
  </w:style>
  <w:style w:type="paragraph" w:customStyle="1" w:styleId="YJ-Observation">
    <w:name w:val="YJ-Observation"/>
    <w:basedOn w:val="YJ-Proposal"/>
    <w:qFormat/>
    <w:pPr>
      <w:numPr>
        <w:numId w:val="8"/>
      </w:numPr>
      <w:tabs>
        <w:tab w:val="left" w:pos="420"/>
      </w:tabs>
    </w:pPr>
  </w:style>
  <w:style w:type="paragraph" w:customStyle="1" w:styleId="10">
    <w:name w:val="正文1"/>
    <w:qFormat/>
    <w:pPr>
      <w:jc w:val="both"/>
    </w:pPr>
    <w:rPr>
      <w:rFonts w:ascii="t" w:hAnsi="t" w:cs="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s://www.mordorintelligence.com/industry-reports/maritime-surveillance-market" TargetMode="Externa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hyperlink" Target="https://doi.org/10.1631/FITEE.2400379" TargetMode="Externa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EFC2BA-C338-47C4-B36F-A4D6FDC656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26</Pages>
  <Words>10167</Words>
  <Characters>57955</Characters>
  <Application>Microsoft Office Word</Application>
  <DocSecurity>0</DocSecurity>
  <Lines>482</Lines>
  <Paragraphs>135</Paragraphs>
  <ScaleCrop>false</ScaleCrop>
  <Company>www.zte.com.cn</Company>
  <LinksUpToDate>false</LinksUpToDate>
  <CharactersWithSpaces>67987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77</cp:revision>
  <dcterms:created xsi:type="dcterms:W3CDTF">2025-08-13T09:45:00Z</dcterms:created>
  <dcterms:modified xsi:type="dcterms:W3CDTF">2025-08-15T13:42:00Z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5C44E65B972547D688DD9013A51BA926</vt:lpwstr>
  </property>
</Properties>
</file>